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color w:val="auto"/>
          <w:sz w:val="36"/>
          <w:szCs w:val="36"/>
        </w:rPr>
      </w:pPr>
      <w:r>
        <w:rPr>
          <w:rFonts w:ascii="仿宋_GB2312" w:hAnsi="仿宋_GB2312" w:eastAsia="仿宋_GB2312" w:cs="仿宋_GB2312"/>
          <w:color w:val="auto"/>
          <w:sz w:val="36"/>
          <w:szCs w:val="36"/>
        </w:rPr>
        <w:drawing>
          <wp:inline distT="0" distB="0" distL="114300" distR="114300">
            <wp:extent cx="845820" cy="982980"/>
            <wp:effectExtent l="0" t="0" r="11430" b="7620"/>
            <wp:docPr id="1" name="图片 17" descr="创禹订阅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7" descr="创禹订阅号"/>
                    <pic:cNvPicPr>
                      <a:picLocks noChangeAspect="1"/>
                    </pic:cNvPicPr>
                  </pic:nvPicPr>
                  <pic:blipFill>
                    <a:blip r:embed="rId9"/>
                    <a:stretch>
                      <a:fillRect/>
                    </a:stretch>
                  </pic:blipFill>
                  <pic:spPr>
                    <a:xfrm>
                      <a:off x="0" y="0"/>
                      <a:ext cx="845820" cy="982980"/>
                    </a:xfrm>
                    <a:prstGeom prst="rect">
                      <a:avLst/>
                    </a:prstGeom>
                    <a:noFill/>
                    <a:ln>
                      <a:noFill/>
                    </a:ln>
                  </pic:spPr>
                </pic:pic>
              </a:graphicData>
            </a:graphic>
          </wp:inline>
        </w:drawing>
      </w: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adjustRightInd w:val="0"/>
        <w:snapToGrid w:val="0"/>
        <w:jc w:val="center"/>
        <w:outlineLvl w:val="0"/>
        <w:rPr>
          <w:rFonts w:ascii="方正小标宋_GBK" w:eastAsia="方正小标宋_GBK"/>
          <w:bCs/>
          <w:color w:val="auto"/>
          <w:sz w:val="72"/>
          <w:szCs w:val="72"/>
        </w:rPr>
      </w:pPr>
      <w:r>
        <w:rPr>
          <w:rFonts w:hint="eastAsia" w:ascii="方正小标宋_GBK" w:eastAsia="方正小标宋_GBK"/>
          <w:bCs/>
          <w:color w:val="auto"/>
          <w:sz w:val="72"/>
          <w:szCs w:val="72"/>
        </w:rPr>
        <w:t>建设项目环境影响报告表</w:t>
      </w:r>
    </w:p>
    <w:p>
      <w:pPr>
        <w:adjustRightInd w:val="0"/>
        <w:snapToGrid w:val="0"/>
        <w:spacing w:before="192" w:beforeLines="80"/>
        <w:jc w:val="center"/>
        <w:rPr>
          <w:rFonts w:ascii="楷体_GB2312" w:eastAsia="楷体_GB2312"/>
          <w:bCs/>
          <w:color w:val="auto"/>
          <w:sz w:val="48"/>
          <w:szCs w:val="48"/>
        </w:rPr>
      </w:pPr>
      <w:r>
        <w:rPr>
          <w:rFonts w:hint="eastAsia" w:ascii="楷体_GB2312" w:eastAsia="楷体_GB2312"/>
          <w:bCs/>
          <w:color w:val="auto"/>
          <w:sz w:val="48"/>
          <w:szCs w:val="48"/>
        </w:rPr>
        <w:t>（污染影响类）</w:t>
      </w:r>
    </w:p>
    <w:p>
      <w:pPr>
        <w:adjustRightInd w:val="0"/>
        <w:snapToGrid w:val="0"/>
        <w:spacing w:line="288" w:lineRule="auto"/>
        <w:jc w:val="center"/>
        <w:rPr>
          <w:rFonts w:ascii="华文仿宋" w:hAnsi="华文仿宋" w:eastAsia="华文仿宋" w:cs="华文仿宋"/>
          <w:color w:val="auto"/>
          <w:kern w:val="44"/>
          <w:sz w:val="44"/>
          <w:szCs w:val="44"/>
        </w:rPr>
      </w:pPr>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adjustRightInd w:val="0"/>
        <w:snapToGrid w:val="0"/>
        <w:spacing w:line="288" w:lineRule="auto"/>
        <w:ind w:firstLine="1040"/>
        <w:rPr>
          <w:rFonts w:eastAsia="仿宋_GB2312"/>
          <w:color w:val="auto"/>
          <w:sz w:val="32"/>
          <w:szCs w:val="32"/>
          <w:u w:val="single"/>
        </w:rPr>
      </w:pPr>
      <w:r>
        <w:rPr>
          <w:rFonts w:hint="eastAsia" w:ascii="仿宋_GB2312" w:eastAsia="仿宋_GB2312"/>
          <w:color w:val="auto"/>
          <w:sz w:val="32"/>
          <w:szCs w:val="32"/>
        </w:rPr>
        <w:t xml:space="preserve">项目名称： </w:t>
      </w:r>
      <w:r>
        <w:rPr>
          <w:rFonts w:eastAsia="仿宋_GB2312"/>
          <w:color w:val="auto"/>
          <w:sz w:val="32"/>
          <w:szCs w:val="32"/>
          <w:u w:val="single"/>
        </w:rPr>
        <w:t xml:space="preserve"> </w:t>
      </w:r>
      <w:r>
        <w:rPr>
          <w:rFonts w:hint="eastAsia" w:eastAsia="仿宋_GB2312"/>
          <w:color w:val="auto"/>
          <w:sz w:val="32"/>
          <w:szCs w:val="32"/>
          <w:u w:val="single"/>
        </w:rPr>
        <w:t xml:space="preserve">巩留县众邦新型材料加工厂建设项目 </w:t>
      </w:r>
      <w:r>
        <w:rPr>
          <w:rFonts w:eastAsia="仿宋_GB2312"/>
          <w:color w:val="auto"/>
          <w:sz w:val="32"/>
          <w:szCs w:val="32"/>
          <w:u w:val="single"/>
        </w:rPr>
        <w:t xml:space="preserve"> </w:t>
      </w:r>
    </w:p>
    <w:p>
      <w:pPr>
        <w:adjustRightInd w:val="0"/>
        <w:snapToGrid w:val="0"/>
        <w:spacing w:line="288" w:lineRule="auto"/>
        <w:ind w:firstLine="1040"/>
        <w:rPr>
          <w:rFonts w:eastAsia="仿宋_GB2312"/>
          <w:color w:val="auto"/>
          <w:sz w:val="32"/>
          <w:szCs w:val="32"/>
          <w:u w:val="single"/>
        </w:rPr>
      </w:pPr>
      <w:r>
        <w:rPr>
          <w:rFonts w:eastAsia="仿宋_GB2312"/>
          <w:color w:val="auto"/>
          <w:sz w:val="32"/>
          <w:szCs w:val="32"/>
        </w:rPr>
        <w:t>建设单位（盖章）：</w:t>
      </w:r>
      <w:r>
        <w:rPr>
          <w:rFonts w:hint="eastAsia" w:eastAsia="仿宋_GB2312"/>
          <w:color w:val="auto"/>
          <w:sz w:val="32"/>
          <w:szCs w:val="32"/>
          <w:u w:val="single"/>
        </w:rPr>
        <w:t xml:space="preserve"> 巩留县众邦新型材料加工厂</w:t>
      </w:r>
      <w:r>
        <w:rPr>
          <w:rFonts w:eastAsia="仿宋_GB2312"/>
          <w:color w:val="auto"/>
          <w:sz w:val="32"/>
          <w:szCs w:val="32"/>
          <w:u w:val="single"/>
        </w:rPr>
        <w:t xml:space="preserve"> </w:t>
      </w:r>
      <w:r>
        <w:rPr>
          <w:rFonts w:hint="eastAsia" w:eastAsia="仿宋_GB2312"/>
          <w:color w:val="auto"/>
          <w:sz w:val="32"/>
          <w:szCs w:val="32"/>
          <w:u w:val="single"/>
        </w:rPr>
        <w:t xml:space="preserve"> </w:t>
      </w:r>
      <w:r>
        <w:rPr>
          <w:rFonts w:eastAsia="仿宋_GB2312"/>
          <w:color w:val="auto"/>
          <w:sz w:val="32"/>
          <w:szCs w:val="32"/>
          <w:u w:val="single"/>
        </w:rPr>
        <w:t xml:space="preserve"> </w:t>
      </w:r>
    </w:p>
    <w:p>
      <w:pPr>
        <w:adjustRightInd w:val="0"/>
        <w:snapToGrid w:val="0"/>
        <w:spacing w:line="288" w:lineRule="auto"/>
        <w:ind w:firstLine="1040"/>
        <w:rPr>
          <w:rFonts w:eastAsia="仿宋_GB2312"/>
          <w:color w:val="auto"/>
          <w:sz w:val="32"/>
          <w:szCs w:val="32"/>
          <w:u w:val="single"/>
        </w:rPr>
      </w:pPr>
      <w:r>
        <w:rPr>
          <w:rFonts w:eastAsia="仿宋_GB2312"/>
          <w:color w:val="auto"/>
          <w:sz w:val="32"/>
          <w:szCs w:val="32"/>
        </w:rPr>
        <w:t>编制日期：</w:t>
      </w:r>
      <w:bookmarkStart w:id="0" w:name="_Hlk57884087"/>
      <w:r>
        <w:rPr>
          <w:rFonts w:hint="eastAsia" w:eastAsia="仿宋_GB2312"/>
          <w:color w:val="auto"/>
          <w:sz w:val="32"/>
          <w:szCs w:val="32"/>
          <w:u w:val="single"/>
        </w:rPr>
        <w:t xml:space="preserve">            2022年</w:t>
      </w:r>
      <w:r>
        <w:rPr>
          <w:rFonts w:hint="eastAsia" w:eastAsia="仿宋_GB2312"/>
          <w:color w:val="auto"/>
          <w:sz w:val="32"/>
          <w:szCs w:val="32"/>
          <w:u w:val="single"/>
          <w:lang w:val="en-US" w:eastAsia="zh-CN"/>
        </w:rPr>
        <w:t>4</w:t>
      </w:r>
      <w:r>
        <w:rPr>
          <w:rFonts w:hint="eastAsia" w:eastAsia="仿宋_GB2312"/>
          <w:color w:val="auto"/>
          <w:sz w:val="32"/>
          <w:szCs w:val="32"/>
          <w:u w:val="single"/>
        </w:rPr>
        <w:t>月</w:t>
      </w:r>
      <w:r>
        <w:rPr>
          <w:rFonts w:eastAsia="仿宋_GB2312"/>
          <w:color w:val="auto"/>
          <w:sz w:val="32"/>
          <w:szCs w:val="32"/>
          <w:u w:val="single"/>
        </w:rPr>
        <w:t xml:space="preserve"> </w:t>
      </w:r>
      <w:r>
        <w:rPr>
          <w:rFonts w:hint="eastAsia" w:eastAsia="仿宋_GB2312"/>
          <w:color w:val="auto"/>
          <w:sz w:val="32"/>
          <w:szCs w:val="32"/>
          <w:u w:val="single"/>
        </w:rPr>
        <w:t xml:space="preserve">            </w:t>
      </w:r>
      <w:r>
        <w:rPr>
          <w:rFonts w:eastAsia="仿宋_GB2312"/>
          <w:color w:val="auto"/>
          <w:sz w:val="32"/>
          <w:szCs w:val="32"/>
          <w:u w:val="single"/>
        </w:rPr>
        <w:t xml:space="preserve"> </w:t>
      </w:r>
    </w:p>
    <w:p>
      <w:pPr>
        <w:adjustRightInd w:val="0"/>
        <w:snapToGrid w:val="0"/>
        <w:spacing w:line="288" w:lineRule="auto"/>
        <w:ind w:firstLine="1040"/>
        <w:rPr>
          <w:rFonts w:ascii="仿宋_GB2312" w:eastAsia="仿宋_GB2312"/>
          <w:color w:val="auto"/>
          <w:sz w:val="36"/>
          <w:szCs w:val="36"/>
          <w:u w:val="single"/>
        </w:rPr>
      </w:pPr>
    </w:p>
    <w:p>
      <w:pPr>
        <w:adjustRightInd w:val="0"/>
        <w:snapToGrid w:val="0"/>
        <w:spacing w:line="288" w:lineRule="auto"/>
        <w:ind w:firstLine="1040"/>
        <w:rPr>
          <w:rFonts w:ascii="仿宋_GB2312" w:eastAsia="仿宋_GB2312"/>
          <w:color w:val="auto"/>
          <w:sz w:val="36"/>
          <w:szCs w:val="36"/>
        </w:rPr>
      </w:pPr>
    </w:p>
    <w:p>
      <w:pPr>
        <w:adjustRightInd w:val="0"/>
        <w:snapToGrid w:val="0"/>
        <w:spacing w:line="288" w:lineRule="auto"/>
        <w:ind w:firstLine="1040"/>
        <w:rPr>
          <w:rFonts w:ascii="仿宋_GB2312" w:eastAsia="仿宋_GB2312"/>
          <w:color w:val="auto"/>
          <w:sz w:val="36"/>
          <w:szCs w:val="36"/>
        </w:rPr>
      </w:pPr>
    </w:p>
    <w:bookmarkEnd w:id="0"/>
    <w:p>
      <w:pPr>
        <w:adjustRightInd w:val="0"/>
        <w:snapToGrid w:val="0"/>
        <w:spacing w:line="288" w:lineRule="auto"/>
        <w:jc w:val="center"/>
        <w:rPr>
          <w:rFonts w:ascii="楷体_GB2312" w:eastAsia="楷体_GB2312"/>
          <w:color w:val="auto"/>
          <w:sz w:val="36"/>
          <w:szCs w:val="36"/>
        </w:rPr>
      </w:pPr>
      <w:r>
        <w:rPr>
          <w:rFonts w:hint="eastAsia" w:ascii="楷体_GB2312" w:eastAsia="楷体_GB2312"/>
          <w:color w:val="auto"/>
          <w:sz w:val="36"/>
          <w:szCs w:val="36"/>
        </w:rPr>
        <w:t>中华人民共和国生态环境部制</w:t>
      </w:r>
    </w:p>
    <w:p>
      <w:pPr>
        <w:adjustRightInd w:val="0"/>
        <w:snapToGrid w:val="0"/>
        <w:spacing w:line="288" w:lineRule="auto"/>
        <w:ind w:firstLine="1040"/>
        <w:rPr>
          <w:rFonts w:ascii="仿宋_GB2312" w:eastAsia="仿宋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15"/>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一、建设项目基本情况</w:t>
      </w:r>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510"/>
        <w:gridCol w:w="759"/>
        <w:gridCol w:w="2025"/>
        <w:gridCol w:w="2225"/>
        <w:gridCol w:w="23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建设项目名称</w:t>
            </w:r>
          </w:p>
        </w:tc>
        <w:tc>
          <w:tcPr>
            <w:tcW w:w="6601" w:type="dxa"/>
            <w:gridSpan w:val="3"/>
            <w:vAlign w:val="center"/>
          </w:tcPr>
          <w:p>
            <w:pPr>
              <w:adjustRightInd w:val="0"/>
              <w:snapToGrid w:val="0"/>
              <w:jc w:val="center"/>
              <w:rPr>
                <w:color w:val="auto"/>
                <w:sz w:val="28"/>
                <w:szCs w:val="28"/>
              </w:rPr>
            </w:pPr>
            <w:r>
              <w:rPr>
                <w:rFonts w:hint="eastAsia"/>
                <w:color w:val="auto"/>
                <w:sz w:val="28"/>
                <w:szCs w:val="28"/>
              </w:rPr>
              <w:t>巩留县众邦新型材料加工厂建设项目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78"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项目代码</w:t>
            </w:r>
          </w:p>
        </w:tc>
        <w:tc>
          <w:tcPr>
            <w:tcW w:w="6601" w:type="dxa"/>
            <w:gridSpan w:val="3"/>
            <w:vAlign w:val="center"/>
          </w:tcPr>
          <w:p>
            <w:pPr>
              <w:adjustRightInd w:val="0"/>
              <w:snapToGrid w:val="0"/>
              <w:jc w:val="center"/>
              <w:rPr>
                <w:color w:val="auto"/>
                <w:sz w:val="28"/>
                <w:szCs w:val="28"/>
              </w:rPr>
            </w:pPr>
            <w:r>
              <w:rPr>
                <w:color w:val="auto"/>
                <w:sz w:val="28"/>
                <w:szCs w:val="28"/>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41"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建设单位联系人</w:t>
            </w:r>
          </w:p>
        </w:tc>
        <w:tc>
          <w:tcPr>
            <w:tcW w:w="2025" w:type="dxa"/>
            <w:vAlign w:val="center"/>
          </w:tcPr>
          <w:p>
            <w:pPr>
              <w:adjustRightInd w:val="0"/>
              <w:snapToGrid w:val="0"/>
              <w:jc w:val="center"/>
              <w:rPr>
                <w:color w:val="auto"/>
                <w:sz w:val="28"/>
                <w:szCs w:val="28"/>
              </w:rPr>
            </w:pPr>
            <w:r>
              <w:rPr>
                <w:rFonts w:hint="eastAsia"/>
                <w:color w:val="auto"/>
                <w:sz w:val="28"/>
                <w:szCs w:val="28"/>
              </w:rPr>
              <w:t>陈殿雄</w:t>
            </w:r>
          </w:p>
        </w:tc>
        <w:tc>
          <w:tcPr>
            <w:tcW w:w="2225" w:type="dxa"/>
            <w:vAlign w:val="center"/>
          </w:tcPr>
          <w:p>
            <w:pPr>
              <w:adjustRightInd w:val="0"/>
              <w:snapToGrid w:val="0"/>
              <w:jc w:val="center"/>
              <w:rPr>
                <w:color w:val="auto"/>
                <w:sz w:val="28"/>
                <w:szCs w:val="28"/>
              </w:rPr>
            </w:pPr>
            <w:r>
              <w:rPr>
                <w:color w:val="auto"/>
                <w:sz w:val="28"/>
                <w:szCs w:val="28"/>
              </w:rPr>
              <w:t>联系方式</w:t>
            </w:r>
          </w:p>
        </w:tc>
        <w:tc>
          <w:tcPr>
            <w:tcW w:w="2351" w:type="dxa"/>
            <w:vAlign w:val="center"/>
          </w:tcPr>
          <w:p>
            <w:pPr>
              <w:adjustRightInd w:val="0"/>
              <w:snapToGrid w:val="0"/>
              <w:jc w:val="center"/>
              <w:rPr>
                <w:color w:val="auto"/>
                <w:sz w:val="28"/>
                <w:szCs w:val="28"/>
              </w:rPr>
            </w:pPr>
            <w:r>
              <w:rPr>
                <w:rFonts w:hint="eastAsia"/>
                <w:color w:val="auto"/>
                <w:sz w:val="28"/>
                <w:szCs w:val="28"/>
              </w:rPr>
              <w:t>13909995965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94"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建设地点</w:t>
            </w:r>
          </w:p>
        </w:tc>
        <w:tc>
          <w:tcPr>
            <w:tcW w:w="6601" w:type="dxa"/>
            <w:gridSpan w:val="3"/>
            <w:vAlign w:val="center"/>
          </w:tcPr>
          <w:p>
            <w:pPr>
              <w:adjustRightInd w:val="0"/>
              <w:snapToGrid w:val="0"/>
              <w:jc w:val="center"/>
              <w:rPr>
                <w:color w:val="auto"/>
                <w:sz w:val="28"/>
                <w:szCs w:val="28"/>
              </w:rPr>
            </w:pPr>
            <w:r>
              <w:rPr>
                <w:rFonts w:hint="eastAsia"/>
                <w:color w:val="auto"/>
                <w:sz w:val="28"/>
                <w:szCs w:val="28"/>
                <w:u w:val="single"/>
              </w:rPr>
              <w:t xml:space="preserve">   新疆维吾尔自治区伊犁哈萨克自治州巩留县恰甫其海路南侧东三路西侧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78"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地理坐标</w:t>
            </w:r>
          </w:p>
        </w:tc>
        <w:tc>
          <w:tcPr>
            <w:tcW w:w="6601" w:type="dxa"/>
            <w:gridSpan w:val="3"/>
            <w:vAlign w:val="center"/>
          </w:tcPr>
          <w:p>
            <w:pPr>
              <w:jc w:val="center"/>
              <w:rPr>
                <w:color w:val="auto"/>
                <w:sz w:val="28"/>
                <w:szCs w:val="28"/>
              </w:rPr>
            </w:pPr>
            <w:r>
              <w:rPr>
                <w:color w:val="auto"/>
                <w:sz w:val="28"/>
                <w:szCs w:val="28"/>
              </w:rPr>
              <w:t>（</w:t>
            </w:r>
            <w:r>
              <w:rPr>
                <w:color w:val="auto"/>
                <w:sz w:val="28"/>
                <w:szCs w:val="28"/>
                <w:u w:val="single"/>
              </w:rPr>
              <w:t>东经：</w:t>
            </w:r>
            <w:r>
              <w:rPr>
                <w:rFonts w:hint="eastAsia"/>
                <w:color w:val="auto"/>
                <w:sz w:val="28"/>
                <w:szCs w:val="28"/>
                <w:u w:val="single"/>
              </w:rPr>
              <w:t>82</w:t>
            </w:r>
            <w:r>
              <w:rPr>
                <w:color w:val="auto"/>
                <w:sz w:val="28"/>
                <w:szCs w:val="28"/>
                <w:u w:val="single"/>
              </w:rPr>
              <w:t>°</w:t>
            </w:r>
            <w:r>
              <w:rPr>
                <w:rFonts w:hint="eastAsia"/>
                <w:color w:val="auto"/>
                <w:sz w:val="28"/>
                <w:szCs w:val="28"/>
                <w:u w:val="single"/>
              </w:rPr>
              <w:t>14</w:t>
            </w:r>
            <w:r>
              <w:rPr>
                <w:color w:val="auto"/>
                <w:sz w:val="28"/>
                <w:szCs w:val="28"/>
                <w:u w:val="single"/>
              </w:rPr>
              <w:t>′</w:t>
            </w:r>
            <w:r>
              <w:rPr>
                <w:rFonts w:hint="eastAsia"/>
                <w:color w:val="auto"/>
                <w:sz w:val="28"/>
                <w:szCs w:val="28"/>
                <w:u w:val="single"/>
              </w:rPr>
              <w:t>9.180</w:t>
            </w:r>
            <w:r>
              <w:rPr>
                <w:color w:val="auto"/>
                <w:sz w:val="28"/>
                <w:szCs w:val="28"/>
                <w:u w:val="single"/>
              </w:rPr>
              <w:t>″、北纬：</w:t>
            </w:r>
            <w:r>
              <w:rPr>
                <w:rFonts w:hint="eastAsia"/>
                <w:color w:val="auto"/>
                <w:sz w:val="28"/>
                <w:szCs w:val="28"/>
                <w:u w:val="single"/>
              </w:rPr>
              <w:t>43</w:t>
            </w:r>
            <w:r>
              <w:rPr>
                <w:color w:val="auto"/>
                <w:sz w:val="28"/>
                <w:szCs w:val="28"/>
                <w:u w:val="single"/>
              </w:rPr>
              <w:t>°</w:t>
            </w:r>
            <w:r>
              <w:rPr>
                <w:rFonts w:hint="eastAsia"/>
                <w:color w:val="auto"/>
                <w:sz w:val="28"/>
                <w:szCs w:val="28"/>
                <w:u w:val="single"/>
              </w:rPr>
              <w:t>30</w:t>
            </w:r>
            <w:r>
              <w:rPr>
                <w:color w:val="auto"/>
                <w:sz w:val="28"/>
                <w:szCs w:val="28"/>
                <w:u w:val="single"/>
              </w:rPr>
              <w:t>′</w:t>
            </w:r>
            <w:r>
              <w:rPr>
                <w:rFonts w:hint="eastAsia"/>
                <w:color w:val="auto"/>
                <w:sz w:val="28"/>
                <w:szCs w:val="28"/>
                <w:u w:val="single"/>
              </w:rPr>
              <w:t>5.743</w:t>
            </w:r>
            <w:r>
              <w:rPr>
                <w:color w:val="auto"/>
                <w:sz w:val="28"/>
                <w:szCs w:val="28"/>
                <w:u w:val="single"/>
              </w:rPr>
              <w:t>″</w:t>
            </w:r>
            <w:r>
              <w:rPr>
                <w:color w:val="auto"/>
                <w:sz w:val="28"/>
                <w:szCs w:val="2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83"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国民经济</w:t>
            </w:r>
          </w:p>
          <w:p>
            <w:pPr>
              <w:adjustRightInd w:val="0"/>
              <w:snapToGrid w:val="0"/>
              <w:jc w:val="center"/>
              <w:rPr>
                <w:color w:val="auto"/>
                <w:sz w:val="28"/>
                <w:szCs w:val="28"/>
              </w:rPr>
            </w:pPr>
            <w:r>
              <w:rPr>
                <w:color w:val="auto"/>
                <w:sz w:val="28"/>
                <w:szCs w:val="28"/>
              </w:rPr>
              <w:t>行业类别</w:t>
            </w:r>
          </w:p>
        </w:tc>
        <w:tc>
          <w:tcPr>
            <w:tcW w:w="2025" w:type="dxa"/>
            <w:vAlign w:val="center"/>
          </w:tcPr>
          <w:p>
            <w:pPr>
              <w:adjustRightInd w:val="0"/>
              <w:snapToGrid w:val="0"/>
              <w:jc w:val="center"/>
              <w:rPr>
                <w:color w:val="auto"/>
              </w:rPr>
            </w:pPr>
            <w:r>
              <w:rPr>
                <w:rFonts w:hint="eastAsia"/>
                <w:color w:val="auto"/>
                <w:sz w:val="28"/>
                <w:szCs w:val="28"/>
              </w:rPr>
              <w:t>C2924泡沫塑料制造业</w:t>
            </w:r>
          </w:p>
        </w:tc>
        <w:tc>
          <w:tcPr>
            <w:tcW w:w="2225" w:type="dxa"/>
            <w:vAlign w:val="center"/>
          </w:tcPr>
          <w:p>
            <w:pPr>
              <w:adjustRightInd w:val="0"/>
              <w:snapToGrid w:val="0"/>
              <w:jc w:val="center"/>
              <w:rPr>
                <w:color w:val="auto"/>
                <w:sz w:val="28"/>
                <w:szCs w:val="28"/>
              </w:rPr>
            </w:pPr>
            <w:bookmarkStart w:id="1" w:name="_Hlk49843745"/>
            <w:r>
              <w:rPr>
                <w:color w:val="auto"/>
                <w:sz w:val="28"/>
                <w:szCs w:val="28"/>
              </w:rPr>
              <w:t>建设项目</w:t>
            </w:r>
          </w:p>
          <w:p>
            <w:pPr>
              <w:adjustRightInd w:val="0"/>
              <w:snapToGrid w:val="0"/>
              <w:jc w:val="center"/>
              <w:rPr>
                <w:color w:val="auto"/>
                <w:sz w:val="28"/>
                <w:szCs w:val="28"/>
              </w:rPr>
            </w:pPr>
            <w:r>
              <w:rPr>
                <w:color w:val="auto"/>
                <w:sz w:val="28"/>
                <w:szCs w:val="28"/>
              </w:rPr>
              <w:t>行业类别</w:t>
            </w:r>
            <w:bookmarkEnd w:id="1"/>
          </w:p>
        </w:tc>
        <w:tc>
          <w:tcPr>
            <w:tcW w:w="2351" w:type="dxa"/>
            <w:vAlign w:val="center"/>
          </w:tcPr>
          <w:p>
            <w:pPr>
              <w:adjustRightInd w:val="0"/>
              <w:snapToGrid w:val="0"/>
              <w:jc w:val="center"/>
              <w:rPr>
                <w:color w:val="auto"/>
                <w:sz w:val="28"/>
                <w:szCs w:val="28"/>
              </w:rPr>
            </w:pPr>
            <w:r>
              <w:rPr>
                <w:rFonts w:hint="eastAsia"/>
                <w:color w:val="auto"/>
                <w:sz w:val="28"/>
                <w:szCs w:val="28"/>
              </w:rPr>
              <w:t>二十六</w:t>
            </w:r>
            <w:r>
              <w:rPr>
                <w:color w:val="auto"/>
                <w:sz w:val="28"/>
                <w:szCs w:val="28"/>
              </w:rPr>
              <w:t>、</w:t>
            </w:r>
            <w:r>
              <w:rPr>
                <w:rFonts w:hint="eastAsia"/>
                <w:color w:val="auto"/>
                <w:sz w:val="28"/>
                <w:szCs w:val="28"/>
              </w:rPr>
              <w:t>橡胶和塑料制品业</w:t>
            </w:r>
            <w:r>
              <w:rPr>
                <w:color w:val="auto"/>
                <w:sz w:val="28"/>
                <w:szCs w:val="28"/>
              </w:rPr>
              <w:t>-</w:t>
            </w:r>
            <w:r>
              <w:rPr>
                <w:rFonts w:hint="eastAsia"/>
                <w:color w:val="auto"/>
                <w:sz w:val="28"/>
                <w:szCs w:val="28"/>
              </w:rPr>
              <w:t>53塑料制品业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建设性质</w:t>
            </w:r>
          </w:p>
        </w:tc>
        <w:tc>
          <w:tcPr>
            <w:tcW w:w="2025" w:type="dxa"/>
            <w:vAlign w:val="center"/>
          </w:tcPr>
          <w:p>
            <w:pPr>
              <w:jc w:val="left"/>
              <w:rPr>
                <w:color w:val="auto"/>
                <w:sz w:val="28"/>
                <w:szCs w:val="28"/>
              </w:rPr>
            </w:pPr>
            <w:r>
              <w:rPr>
                <w:rFonts w:hint="eastAsia"/>
                <w:color w:val="auto"/>
                <w:sz w:val="28"/>
                <w:szCs w:val="28"/>
              </w:rPr>
              <w:t>☑</w:t>
            </w:r>
            <w:r>
              <w:rPr>
                <w:color w:val="auto"/>
                <w:sz w:val="28"/>
                <w:szCs w:val="28"/>
              </w:rPr>
              <w:t>新建（迁建）</w:t>
            </w:r>
          </w:p>
          <w:p>
            <w:pPr>
              <w:jc w:val="left"/>
              <w:rPr>
                <w:color w:val="auto"/>
                <w:sz w:val="28"/>
                <w:szCs w:val="28"/>
              </w:rPr>
            </w:pPr>
            <w:r>
              <w:rPr>
                <w:color w:val="auto"/>
                <w:sz w:val="28"/>
                <w:szCs w:val="28"/>
              </w:rPr>
              <w:t>□改建</w:t>
            </w:r>
          </w:p>
          <w:p>
            <w:pPr>
              <w:jc w:val="left"/>
              <w:rPr>
                <w:color w:val="auto"/>
                <w:sz w:val="28"/>
                <w:szCs w:val="28"/>
              </w:rPr>
            </w:pPr>
            <w:r>
              <w:rPr>
                <w:color w:val="auto"/>
                <w:sz w:val="28"/>
                <w:szCs w:val="28"/>
              </w:rPr>
              <w:t>□扩建</w:t>
            </w:r>
          </w:p>
          <w:p>
            <w:pPr>
              <w:jc w:val="left"/>
              <w:rPr>
                <w:color w:val="auto"/>
                <w:sz w:val="28"/>
                <w:szCs w:val="28"/>
              </w:rPr>
            </w:pPr>
            <w:r>
              <w:rPr>
                <w:color w:val="auto"/>
                <w:sz w:val="28"/>
                <w:szCs w:val="28"/>
              </w:rPr>
              <w:t>□技术改造</w:t>
            </w:r>
          </w:p>
        </w:tc>
        <w:tc>
          <w:tcPr>
            <w:tcW w:w="2225" w:type="dxa"/>
            <w:vAlign w:val="center"/>
          </w:tcPr>
          <w:p>
            <w:pPr>
              <w:adjustRightInd w:val="0"/>
              <w:snapToGrid w:val="0"/>
              <w:jc w:val="center"/>
              <w:rPr>
                <w:color w:val="auto"/>
                <w:sz w:val="28"/>
                <w:szCs w:val="28"/>
              </w:rPr>
            </w:pPr>
            <w:r>
              <w:rPr>
                <w:color w:val="auto"/>
                <w:sz w:val="28"/>
                <w:szCs w:val="28"/>
              </w:rPr>
              <w:t>建设项目</w:t>
            </w:r>
          </w:p>
          <w:p>
            <w:pPr>
              <w:adjustRightInd w:val="0"/>
              <w:snapToGrid w:val="0"/>
              <w:jc w:val="center"/>
              <w:rPr>
                <w:color w:val="auto"/>
                <w:sz w:val="28"/>
                <w:szCs w:val="28"/>
              </w:rPr>
            </w:pPr>
            <w:r>
              <w:rPr>
                <w:color w:val="auto"/>
                <w:sz w:val="28"/>
                <w:szCs w:val="28"/>
              </w:rPr>
              <w:t>申报情形</w:t>
            </w:r>
          </w:p>
        </w:tc>
        <w:tc>
          <w:tcPr>
            <w:tcW w:w="2351" w:type="dxa"/>
            <w:vAlign w:val="center"/>
          </w:tcPr>
          <w:p>
            <w:pPr>
              <w:jc w:val="left"/>
              <w:rPr>
                <w:color w:val="auto"/>
                <w:sz w:val="28"/>
                <w:szCs w:val="28"/>
              </w:rPr>
            </w:pPr>
            <w:r>
              <w:rPr>
                <w:rFonts w:hint="eastAsia"/>
                <w:color w:val="auto"/>
                <w:sz w:val="28"/>
                <w:szCs w:val="28"/>
              </w:rPr>
              <w:t>☑</w:t>
            </w:r>
            <w:r>
              <w:rPr>
                <w:color w:val="auto"/>
                <w:sz w:val="28"/>
                <w:szCs w:val="28"/>
              </w:rPr>
              <w:t xml:space="preserve">首次申报项目             </w:t>
            </w:r>
          </w:p>
          <w:p>
            <w:pPr>
              <w:jc w:val="left"/>
              <w:rPr>
                <w:color w:val="auto"/>
                <w:sz w:val="28"/>
                <w:szCs w:val="28"/>
              </w:rPr>
            </w:pPr>
            <w:r>
              <w:rPr>
                <w:color w:val="auto"/>
                <w:sz w:val="28"/>
                <w:szCs w:val="28"/>
              </w:rPr>
              <w:t>□不予批准后再次申报项目</w:t>
            </w:r>
          </w:p>
          <w:p>
            <w:pPr>
              <w:jc w:val="left"/>
              <w:rPr>
                <w:color w:val="auto"/>
                <w:sz w:val="28"/>
                <w:szCs w:val="28"/>
              </w:rPr>
            </w:pPr>
            <w:r>
              <w:rPr>
                <w:color w:val="auto"/>
                <w:sz w:val="28"/>
                <w:szCs w:val="28"/>
              </w:rPr>
              <w:t xml:space="preserve">□超五年重新审核项目     </w:t>
            </w:r>
          </w:p>
          <w:p>
            <w:pPr>
              <w:jc w:val="left"/>
              <w:rPr>
                <w:color w:val="auto"/>
                <w:sz w:val="28"/>
                <w:szCs w:val="28"/>
              </w:rPr>
            </w:pPr>
            <w:r>
              <w:rPr>
                <w:color w:val="auto"/>
                <w:sz w:val="28"/>
                <w:szCs w:val="28"/>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44"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项目审批（核准/</w:t>
            </w:r>
          </w:p>
          <w:p>
            <w:pPr>
              <w:adjustRightInd w:val="0"/>
              <w:snapToGrid w:val="0"/>
              <w:jc w:val="center"/>
              <w:rPr>
                <w:color w:val="auto"/>
                <w:sz w:val="28"/>
                <w:szCs w:val="28"/>
              </w:rPr>
            </w:pPr>
            <w:r>
              <w:rPr>
                <w:color w:val="auto"/>
                <w:sz w:val="28"/>
                <w:szCs w:val="28"/>
              </w:rPr>
              <w:t>备案）部门（选填）</w:t>
            </w:r>
          </w:p>
        </w:tc>
        <w:tc>
          <w:tcPr>
            <w:tcW w:w="2025" w:type="dxa"/>
            <w:vAlign w:val="center"/>
          </w:tcPr>
          <w:p>
            <w:pPr>
              <w:adjustRightInd w:val="0"/>
              <w:snapToGrid w:val="0"/>
              <w:jc w:val="center"/>
              <w:rPr>
                <w:color w:val="auto"/>
                <w:sz w:val="28"/>
                <w:szCs w:val="28"/>
              </w:rPr>
            </w:pPr>
            <w:r>
              <w:rPr>
                <w:rFonts w:hint="eastAsia"/>
                <w:color w:val="auto"/>
                <w:sz w:val="28"/>
                <w:szCs w:val="28"/>
              </w:rPr>
              <w:t>/</w:t>
            </w:r>
          </w:p>
        </w:tc>
        <w:tc>
          <w:tcPr>
            <w:tcW w:w="2225" w:type="dxa"/>
            <w:vAlign w:val="center"/>
          </w:tcPr>
          <w:p>
            <w:pPr>
              <w:adjustRightInd w:val="0"/>
              <w:snapToGrid w:val="0"/>
              <w:jc w:val="center"/>
              <w:rPr>
                <w:color w:val="auto"/>
                <w:sz w:val="28"/>
                <w:szCs w:val="28"/>
              </w:rPr>
            </w:pPr>
            <w:r>
              <w:rPr>
                <w:color w:val="auto"/>
                <w:sz w:val="28"/>
                <w:szCs w:val="28"/>
              </w:rPr>
              <w:t>项目审批（核准/</w:t>
            </w:r>
          </w:p>
          <w:p>
            <w:pPr>
              <w:adjustRightInd w:val="0"/>
              <w:snapToGrid w:val="0"/>
              <w:jc w:val="center"/>
              <w:rPr>
                <w:color w:val="auto"/>
                <w:sz w:val="28"/>
                <w:szCs w:val="28"/>
              </w:rPr>
            </w:pPr>
            <w:r>
              <w:rPr>
                <w:color w:val="auto"/>
                <w:sz w:val="28"/>
                <w:szCs w:val="28"/>
              </w:rPr>
              <w:t>备案）文号（选填）</w:t>
            </w:r>
          </w:p>
        </w:tc>
        <w:tc>
          <w:tcPr>
            <w:tcW w:w="2351" w:type="dxa"/>
            <w:vAlign w:val="center"/>
          </w:tcPr>
          <w:p>
            <w:pPr>
              <w:adjustRightInd w:val="0"/>
              <w:snapToGrid w:val="0"/>
              <w:jc w:val="center"/>
              <w:rPr>
                <w:color w:val="auto"/>
                <w:sz w:val="28"/>
                <w:szCs w:val="28"/>
              </w:rPr>
            </w:pPr>
            <w:r>
              <w:rPr>
                <w:rFonts w:hint="eastAsia"/>
                <w:color w:val="auto"/>
                <w:sz w:val="28"/>
                <w:szCs w:val="2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总投资（万元）</w:t>
            </w:r>
          </w:p>
        </w:tc>
        <w:tc>
          <w:tcPr>
            <w:tcW w:w="2025" w:type="dxa"/>
            <w:vAlign w:val="center"/>
          </w:tcPr>
          <w:p>
            <w:pPr>
              <w:adjustRightInd w:val="0"/>
              <w:snapToGrid w:val="0"/>
              <w:jc w:val="center"/>
              <w:rPr>
                <w:color w:val="auto"/>
                <w:sz w:val="28"/>
                <w:szCs w:val="28"/>
              </w:rPr>
            </w:pPr>
            <w:r>
              <w:rPr>
                <w:rFonts w:hint="eastAsia"/>
                <w:color w:val="auto"/>
                <w:sz w:val="28"/>
                <w:szCs w:val="28"/>
              </w:rPr>
              <w:t>160</w:t>
            </w:r>
          </w:p>
        </w:tc>
        <w:tc>
          <w:tcPr>
            <w:tcW w:w="2225" w:type="dxa"/>
            <w:tcMar>
              <w:top w:w="16" w:type="dxa"/>
              <w:left w:w="16" w:type="dxa"/>
              <w:right w:w="16" w:type="dxa"/>
            </w:tcMar>
            <w:vAlign w:val="center"/>
          </w:tcPr>
          <w:p>
            <w:pPr>
              <w:adjustRightInd w:val="0"/>
              <w:snapToGrid w:val="0"/>
              <w:jc w:val="center"/>
              <w:rPr>
                <w:color w:val="auto"/>
                <w:sz w:val="28"/>
                <w:szCs w:val="28"/>
              </w:rPr>
            </w:pPr>
            <w:r>
              <w:rPr>
                <w:color w:val="auto"/>
                <w:sz w:val="28"/>
                <w:szCs w:val="28"/>
              </w:rPr>
              <w:t>环保投资（万元）</w:t>
            </w:r>
          </w:p>
        </w:tc>
        <w:tc>
          <w:tcPr>
            <w:tcW w:w="2351" w:type="dxa"/>
            <w:vAlign w:val="center"/>
          </w:tcPr>
          <w:p>
            <w:pPr>
              <w:adjustRightInd w:val="0"/>
              <w:snapToGrid w:val="0"/>
              <w:jc w:val="center"/>
              <w:rPr>
                <w:color w:val="auto"/>
                <w:sz w:val="28"/>
                <w:szCs w:val="28"/>
              </w:rPr>
            </w:pPr>
            <w:r>
              <w:rPr>
                <w:rFonts w:hint="eastAsia"/>
                <w:color w:val="auto"/>
                <w:sz w:val="28"/>
                <w:szCs w:val="28"/>
              </w:rPr>
              <w:t>32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环保投资占比（%）</w:t>
            </w:r>
          </w:p>
        </w:tc>
        <w:tc>
          <w:tcPr>
            <w:tcW w:w="2025" w:type="dxa"/>
            <w:vAlign w:val="center"/>
          </w:tcPr>
          <w:p>
            <w:pPr>
              <w:adjustRightInd w:val="0"/>
              <w:snapToGrid w:val="0"/>
              <w:jc w:val="center"/>
              <w:rPr>
                <w:color w:val="auto"/>
                <w:sz w:val="28"/>
                <w:szCs w:val="28"/>
              </w:rPr>
            </w:pPr>
            <w:r>
              <w:rPr>
                <w:rFonts w:hint="eastAsia"/>
                <w:color w:val="auto"/>
                <w:sz w:val="28"/>
                <w:szCs w:val="28"/>
              </w:rPr>
              <w:t>20</w:t>
            </w:r>
            <w:r>
              <w:rPr>
                <w:color w:val="auto"/>
                <w:sz w:val="28"/>
                <w:szCs w:val="28"/>
              </w:rPr>
              <w:t>%</w:t>
            </w:r>
          </w:p>
        </w:tc>
        <w:tc>
          <w:tcPr>
            <w:tcW w:w="2225" w:type="dxa"/>
            <w:tcMar>
              <w:top w:w="16" w:type="dxa"/>
              <w:left w:w="16" w:type="dxa"/>
              <w:right w:w="16" w:type="dxa"/>
            </w:tcMar>
            <w:vAlign w:val="center"/>
          </w:tcPr>
          <w:p>
            <w:pPr>
              <w:adjustRightInd w:val="0"/>
              <w:snapToGrid w:val="0"/>
              <w:jc w:val="center"/>
              <w:rPr>
                <w:color w:val="auto"/>
                <w:sz w:val="28"/>
                <w:szCs w:val="28"/>
              </w:rPr>
            </w:pPr>
            <w:r>
              <w:rPr>
                <w:color w:val="auto"/>
                <w:sz w:val="28"/>
                <w:szCs w:val="28"/>
              </w:rPr>
              <w:t>施工工期</w:t>
            </w:r>
          </w:p>
        </w:tc>
        <w:tc>
          <w:tcPr>
            <w:tcW w:w="2351" w:type="dxa"/>
            <w:vAlign w:val="center"/>
          </w:tcPr>
          <w:p>
            <w:pPr>
              <w:adjustRightInd w:val="0"/>
              <w:snapToGrid w:val="0"/>
              <w:jc w:val="center"/>
              <w:rPr>
                <w:color w:val="auto"/>
                <w:sz w:val="28"/>
                <w:szCs w:val="28"/>
              </w:rPr>
            </w:pPr>
            <w:r>
              <w:rPr>
                <w:color w:val="auto"/>
                <w:sz w:val="28"/>
                <w:szCs w:val="28"/>
              </w:rPr>
              <w:t>6个月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497" w:hRule="atLeast"/>
          <w:jc w:val="center"/>
        </w:trPr>
        <w:tc>
          <w:tcPr>
            <w:tcW w:w="2269" w:type="dxa"/>
            <w:gridSpan w:val="2"/>
            <w:tcMar>
              <w:top w:w="16" w:type="dxa"/>
              <w:left w:w="16" w:type="dxa"/>
              <w:right w:w="16" w:type="dxa"/>
            </w:tcMar>
            <w:vAlign w:val="center"/>
          </w:tcPr>
          <w:p>
            <w:pPr>
              <w:adjustRightInd w:val="0"/>
              <w:snapToGrid w:val="0"/>
              <w:jc w:val="center"/>
              <w:rPr>
                <w:color w:val="auto"/>
                <w:sz w:val="28"/>
                <w:szCs w:val="28"/>
              </w:rPr>
            </w:pPr>
            <w:r>
              <w:rPr>
                <w:color w:val="auto"/>
                <w:sz w:val="28"/>
                <w:szCs w:val="28"/>
              </w:rPr>
              <w:t>是否开工建设</w:t>
            </w:r>
          </w:p>
        </w:tc>
        <w:tc>
          <w:tcPr>
            <w:tcW w:w="2025" w:type="dxa"/>
            <w:vAlign w:val="center"/>
          </w:tcPr>
          <w:p>
            <w:pPr>
              <w:adjustRightInd w:val="0"/>
              <w:snapToGrid w:val="0"/>
              <w:rPr>
                <w:color w:val="auto"/>
                <w:sz w:val="28"/>
                <w:szCs w:val="28"/>
              </w:rPr>
            </w:pPr>
            <w:r>
              <w:rPr>
                <w:color w:val="auto"/>
                <w:sz w:val="28"/>
                <w:szCs w:val="28"/>
              </w:rPr>
              <w:t>□否</w:t>
            </w:r>
          </w:p>
          <w:p>
            <w:pPr>
              <w:adjustRightInd w:val="0"/>
              <w:snapToGrid w:val="0"/>
              <w:rPr>
                <w:color w:val="auto"/>
                <w:sz w:val="28"/>
                <w:szCs w:val="28"/>
              </w:rPr>
            </w:pPr>
            <w:r>
              <w:rPr>
                <w:rFonts w:hint="eastAsia"/>
                <w:color w:val="auto"/>
                <w:sz w:val="28"/>
                <w:szCs w:val="28"/>
              </w:rPr>
              <w:t>☑</w:t>
            </w:r>
            <w:r>
              <w:rPr>
                <w:color w:val="auto"/>
                <w:sz w:val="28"/>
                <w:szCs w:val="28"/>
              </w:rPr>
              <w:t>是：</w:t>
            </w:r>
            <w:r>
              <w:rPr>
                <w:rFonts w:hint="eastAsia"/>
                <w:color w:val="auto"/>
                <w:sz w:val="28"/>
                <w:szCs w:val="28"/>
                <w:u w:val="single"/>
              </w:rPr>
              <w:t>生产车间、锅炉等已于2017建设完成，</w:t>
            </w:r>
            <w:r>
              <w:rPr>
                <w:rFonts w:hint="eastAsia"/>
                <w:color w:val="auto"/>
                <w:sz w:val="28"/>
                <w:szCs w:val="28"/>
                <w:u w:val="single"/>
                <w:lang w:eastAsia="zh-CN"/>
              </w:rPr>
              <w:t>办公楼及仓库尚未建设。</w:t>
            </w:r>
            <w:r>
              <w:rPr>
                <w:rFonts w:hint="eastAsia"/>
                <w:color w:val="auto"/>
                <w:sz w:val="28"/>
                <w:szCs w:val="28"/>
                <w:u w:val="single"/>
              </w:rPr>
              <w:t>暂未进行处罚</w:t>
            </w:r>
            <w:r>
              <w:rPr>
                <w:rFonts w:hint="eastAsia"/>
                <w:color w:val="auto"/>
                <w:sz w:val="28"/>
                <w:szCs w:val="28"/>
                <w:u w:val="single"/>
                <w:lang w:eastAsia="zh-CN"/>
              </w:rPr>
              <w:t>。</w:t>
            </w:r>
          </w:p>
        </w:tc>
        <w:tc>
          <w:tcPr>
            <w:tcW w:w="2225" w:type="dxa"/>
            <w:tcMar>
              <w:top w:w="16" w:type="dxa"/>
              <w:left w:w="16" w:type="dxa"/>
              <w:right w:w="16" w:type="dxa"/>
            </w:tcMar>
            <w:vAlign w:val="center"/>
          </w:tcPr>
          <w:p>
            <w:pPr>
              <w:adjustRightInd w:val="0"/>
              <w:snapToGrid w:val="0"/>
              <w:jc w:val="center"/>
              <w:rPr>
                <w:color w:val="auto"/>
                <w:spacing w:val="-6"/>
                <w:sz w:val="28"/>
                <w:szCs w:val="28"/>
              </w:rPr>
            </w:pPr>
            <w:r>
              <w:rPr>
                <w:color w:val="auto"/>
                <w:spacing w:val="-6"/>
                <w:sz w:val="28"/>
                <w:szCs w:val="28"/>
              </w:rPr>
              <w:t>用地（用海）</w:t>
            </w:r>
          </w:p>
          <w:p>
            <w:pPr>
              <w:adjustRightInd w:val="0"/>
              <w:snapToGrid w:val="0"/>
              <w:jc w:val="center"/>
              <w:rPr>
                <w:color w:val="auto"/>
                <w:sz w:val="28"/>
                <w:szCs w:val="28"/>
              </w:rPr>
            </w:pPr>
            <w:r>
              <w:rPr>
                <w:color w:val="auto"/>
                <w:spacing w:val="-6"/>
                <w:sz w:val="28"/>
                <w:szCs w:val="28"/>
              </w:rPr>
              <w:t>面积（m</w:t>
            </w:r>
            <w:r>
              <w:rPr>
                <w:color w:val="auto"/>
                <w:spacing w:val="-6"/>
                <w:sz w:val="28"/>
                <w:szCs w:val="28"/>
                <w:vertAlign w:val="superscript"/>
              </w:rPr>
              <w:t>2</w:t>
            </w:r>
            <w:r>
              <w:rPr>
                <w:color w:val="auto"/>
                <w:spacing w:val="-6"/>
                <w:sz w:val="28"/>
                <w:szCs w:val="28"/>
              </w:rPr>
              <w:t>）</w:t>
            </w:r>
          </w:p>
        </w:tc>
        <w:tc>
          <w:tcPr>
            <w:tcW w:w="2351" w:type="dxa"/>
            <w:vAlign w:val="center"/>
          </w:tcPr>
          <w:p>
            <w:pPr>
              <w:adjustRightInd w:val="0"/>
              <w:snapToGrid w:val="0"/>
              <w:jc w:val="center"/>
              <w:rPr>
                <w:color w:val="auto"/>
                <w:sz w:val="28"/>
                <w:szCs w:val="28"/>
              </w:rPr>
            </w:pPr>
            <w:r>
              <w:rPr>
                <w:rFonts w:hint="eastAsia"/>
                <w:color w:val="auto"/>
                <w:sz w:val="28"/>
                <w:szCs w:val="28"/>
              </w:rPr>
              <w:t>5993.2m</w:t>
            </w:r>
            <w:r>
              <w:rPr>
                <w:rFonts w:hint="eastAsia"/>
                <w:color w:val="auto"/>
                <w:sz w:val="28"/>
                <w:szCs w:val="28"/>
                <w:vertAlign w:val="superscript"/>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2269" w:type="dxa"/>
            <w:gridSpan w:val="2"/>
            <w:vAlign w:val="center"/>
          </w:tcPr>
          <w:p>
            <w:pPr>
              <w:autoSpaceDE w:val="0"/>
              <w:autoSpaceDN w:val="0"/>
              <w:adjustRightInd w:val="0"/>
              <w:snapToGrid w:val="0"/>
              <w:jc w:val="center"/>
              <w:rPr>
                <w:color w:val="auto"/>
                <w:kern w:val="0"/>
                <w:sz w:val="28"/>
                <w:szCs w:val="28"/>
              </w:rPr>
            </w:pPr>
            <w:r>
              <w:rPr>
                <w:color w:val="auto"/>
                <w:kern w:val="0"/>
                <w:sz w:val="28"/>
                <w:szCs w:val="28"/>
              </w:rPr>
              <w:t>专项评价设置情况</w:t>
            </w:r>
          </w:p>
        </w:tc>
        <w:tc>
          <w:tcPr>
            <w:tcW w:w="6601" w:type="dxa"/>
            <w:gridSpan w:val="3"/>
            <w:vAlign w:val="center"/>
          </w:tcPr>
          <w:p>
            <w:pPr>
              <w:autoSpaceDE w:val="0"/>
              <w:autoSpaceDN w:val="0"/>
              <w:adjustRightInd w:val="0"/>
              <w:snapToGrid w:val="0"/>
              <w:jc w:val="center"/>
              <w:rPr>
                <w:color w:val="auto"/>
                <w:kern w:val="0"/>
                <w:sz w:val="28"/>
                <w:szCs w:val="28"/>
              </w:rPr>
            </w:pPr>
            <w:r>
              <w:rPr>
                <w:color w:val="auto"/>
                <w:kern w:val="0"/>
                <w:sz w:val="28"/>
                <w:szCs w:val="28"/>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2269" w:type="dxa"/>
            <w:gridSpan w:val="2"/>
            <w:vAlign w:val="center"/>
          </w:tcPr>
          <w:p>
            <w:pPr>
              <w:autoSpaceDE w:val="0"/>
              <w:autoSpaceDN w:val="0"/>
              <w:adjustRightInd w:val="0"/>
              <w:snapToGrid w:val="0"/>
              <w:jc w:val="center"/>
              <w:rPr>
                <w:color w:val="auto"/>
                <w:kern w:val="0"/>
                <w:sz w:val="28"/>
                <w:szCs w:val="28"/>
              </w:rPr>
            </w:pPr>
            <w:r>
              <w:rPr>
                <w:color w:val="auto"/>
                <w:sz w:val="28"/>
                <w:szCs w:val="28"/>
              </w:rPr>
              <w:t>规划情况</w:t>
            </w:r>
          </w:p>
        </w:tc>
        <w:tc>
          <w:tcPr>
            <w:tcW w:w="6601" w:type="dxa"/>
            <w:gridSpan w:val="3"/>
            <w:vAlign w:val="center"/>
          </w:tcPr>
          <w:p>
            <w:pPr>
              <w:autoSpaceDE w:val="0"/>
              <w:autoSpaceDN w:val="0"/>
              <w:adjustRightInd w:val="0"/>
              <w:snapToGrid w:val="0"/>
              <w:jc w:val="center"/>
              <w:rPr>
                <w:rFonts w:hint="eastAsia" w:eastAsia="宋体"/>
                <w:color w:val="auto"/>
                <w:kern w:val="0"/>
                <w:sz w:val="28"/>
                <w:szCs w:val="28"/>
                <w:lang w:eastAsia="zh-CN"/>
              </w:rPr>
            </w:pPr>
            <w:r>
              <w:rPr>
                <w:rFonts w:hint="eastAsia"/>
                <w:color w:val="auto"/>
                <w:kern w:val="0"/>
                <w:sz w:val="28"/>
                <w:szCs w:val="28"/>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2269" w:type="dxa"/>
            <w:gridSpan w:val="2"/>
            <w:vAlign w:val="center"/>
          </w:tcPr>
          <w:p>
            <w:pPr>
              <w:adjustRightInd w:val="0"/>
              <w:snapToGrid w:val="0"/>
              <w:jc w:val="center"/>
              <w:rPr>
                <w:color w:val="auto"/>
                <w:sz w:val="28"/>
                <w:szCs w:val="28"/>
              </w:rPr>
            </w:pPr>
            <w:r>
              <w:rPr>
                <w:color w:val="auto"/>
                <w:sz w:val="28"/>
                <w:szCs w:val="28"/>
              </w:rPr>
              <w:t>规划环境影响</w:t>
            </w:r>
          </w:p>
          <w:p>
            <w:pPr>
              <w:adjustRightInd w:val="0"/>
              <w:snapToGrid w:val="0"/>
              <w:jc w:val="center"/>
              <w:rPr>
                <w:color w:val="auto"/>
                <w:kern w:val="0"/>
                <w:sz w:val="28"/>
                <w:szCs w:val="28"/>
              </w:rPr>
            </w:pPr>
            <w:r>
              <w:rPr>
                <w:color w:val="auto"/>
                <w:sz w:val="28"/>
                <w:szCs w:val="28"/>
              </w:rPr>
              <w:t>评价情况</w:t>
            </w:r>
          </w:p>
        </w:tc>
        <w:tc>
          <w:tcPr>
            <w:tcW w:w="6601" w:type="dxa"/>
            <w:gridSpan w:val="3"/>
            <w:vAlign w:val="center"/>
          </w:tcPr>
          <w:p>
            <w:pPr>
              <w:autoSpaceDE w:val="0"/>
              <w:autoSpaceDN w:val="0"/>
              <w:adjustRightInd w:val="0"/>
              <w:snapToGrid w:val="0"/>
              <w:jc w:val="center"/>
              <w:rPr>
                <w:rFonts w:hint="eastAsia" w:eastAsia="宋体"/>
                <w:color w:val="auto"/>
                <w:kern w:val="0"/>
                <w:sz w:val="28"/>
                <w:szCs w:val="28"/>
                <w:lang w:eastAsia="zh-CN"/>
              </w:rPr>
            </w:pPr>
            <w:r>
              <w:rPr>
                <w:rFonts w:hint="eastAsia"/>
                <w:color w:val="auto"/>
                <w:kern w:val="0"/>
                <w:sz w:val="28"/>
                <w:szCs w:val="28"/>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269" w:type="dxa"/>
            <w:gridSpan w:val="2"/>
            <w:vAlign w:val="center"/>
          </w:tcPr>
          <w:p>
            <w:pPr>
              <w:autoSpaceDE w:val="0"/>
              <w:autoSpaceDN w:val="0"/>
              <w:adjustRightInd w:val="0"/>
              <w:snapToGrid w:val="0"/>
              <w:jc w:val="center"/>
              <w:rPr>
                <w:color w:val="auto"/>
                <w:kern w:val="0"/>
                <w:sz w:val="28"/>
                <w:szCs w:val="28"/>
              </w:rPr>
            </w:pPr>
            <w:r>
              <w:rPr>
                <w:color w:val="auto"/>
                <w:kern w:val="0"/>
                <w:sz w:val="28"/>
                <w:szCs w:val="28"/>
              </w:rPr>
              <w:t>规划及规划环境</w:t>
            </w:r>
          </w:p>
          <w:p>
            <w:pPr>
              <w:autoSpaceDE w:val="0"/>
              <w:autoSpaceDN w:val="0"/>
              <w:adjustRightInd w:val="0"/>
              <w:snapToGrid w:val="0"/>
              <w:jc w:val="center"/>
              <w:rPr>
                <w:color w:val="auto"/>
                <w:kern w:val="0"/>
                <w:sz w:val="28"/>
                <w:szCs w:val="28"/>
              </w:rPr>
            </w:pPr>
            <w:r>
              <w:rPr>
                <w:color w:val="auto"/>
                <w:kern w:val="0"/>
                <w:sz w:val="28"/>
                <w:szCs w:val="28"/>
              </w:rPr>
              <w:t>影响评价符合性分析</w:t>
            </w:r>
          </w:p>
        </w:tc>
        <w:tc>
          <w:tcPr>
            <w:tcW w:w="6601" w:type="dxa"/>
            <w:gridSpan w:val="3"/>
            <w:vAlign w:val="center"/>
          </w:tcPr>
          <w:p>
            <w:pPr>
              <w:autoSpaceDE w:val="0"/>
              <w:autoSpaceDN w:val="0"/>
              <w:adjustRightInd w:val="0"/>
              <w:snapToGrid w:val="0"/>
              <w:spacing w:line="520" w:lineRule="exact"/>
              <w:jc w:val="center"/>
              <w:rPr>
                <w:rFonts w:hint="eastAsia" w:ascii="Times New Roman" w:hAnsi="Times New Roman" w:eastAsia="宋体"/>
                <w:color w:val="auto"/>
                <w:kern w:val="0"/>
                <w:sz w:val="28"/>
                <w:szCs w:val="28"/>
                <w:lang w:eastAsia="zh-CN"/>
              </w:rPr>
            </w:pPr>
            <w:r>
              <w:rPr>
                <w:rFonts w:hint="eastAsia" w:ascii="Times New Roman" w:hAnsi="Times New Roman" w:eastAsia="宋体"/>
                <w:color w:val="auto"/>
                <w:kern w:val="0"/>
                <w:sz w:val="28"/>
                <w:szCs w:val="28"/>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64" w:hRule="atLeast"/>
          <w:jc w:val="center"/>
        </w:trPr>
        <w:tc>
          <w:tcPr>
            <w:tcW w:w="1510" w:type="dxa"/>
            <w:vAlign w:val="center"/>
          </w:tcPr>
          <w:p>
            <w:pPr>
              <w:autoSpaceDE w:val="0"/>
              <w:autoSpaceDN w:val="0"/>
              <w:adjustRightInd w:val="0"/>
              <w:snapToGrid w:val="0"/>
              <w:jc w:val="center"/>
              <w:rPr>
                <w:color w:val="auto"/>
                <w:kern w:val="0"/>
                <w:sz w:val="28"/>
                <w:szCs w:val="28"/>
              </w:rPr>
            </w:pPr>
            <w:r>
              <w:rPr>
                <w:color w:val="auto"/>
                <w:kern w:val="0"/>
                <w:sz w:val="28"/>
                <w:szCs w:val="28"/>
              </w:rPr>
              <w:t>其他符合性分析</w:t>
            </w:r>
          </w:p>
        </w:tc>
        <w:tc>
          <w:tcPr>
            <w:tcW w:w="7360" w:type="dxa"/>
            <w:gridSpan w:val="4"/>
            <w:vAlign w:val="center"/>
          </w:tcPr>
          <w:p>
            <w:pPr>
              <w:autoSpaceDE w:val="0"/>
              <w:autoSpaceDN w:val="0"/>
              <w:adjustRightInd w:val="0"/>
              <w:snapToGrid w:val="0"/>
              <w:spacing w:line="520" w:lineRule="exact"/>
              <w:rPr>
                <w:b/>
                <w:bCs/>
                <w:color w:val="auto"/>
                <w:kern w:val="0"/>
                <w:sz w:val="28"/>
                <w:szCs w:val="28"/>
              </w:rPr>
            </w:pPr>
            <w:r>
              <w:rPr>
                <w:b/>
                <w:bCs/>
                <w:color w:val="auto"/>
                <w:kern w:val="0"/>
                <w:sz w:val="28"/>
                <w:szCs w:val="28"/>
              </w:rPr>
              <w:t>1</w:t>
            </w:r>
            <w:r>
              <w:rPr>
                <w:rFonts w:hint="eastAsia"/>
                <w:b/>
                <w:bCs/>
                <w:color w:val="auto"/>
                <w:kern w:val="0"/>
                <w:sz w:val="28"/>
                <w:szCs w:val="28"/>
                <w:lang w:eastAsia="zh-CN"/>
              </w:rPr>
              <w:t>“</w:t>
            </w:r>
            <w:r>
              <w:rPr>
                <w:b/>
                <w:bCs/>
                <w:color w:val="auto"/>
                <w:kern w:val="0"/>
                <w:sz w:val="28"/>
                <w:szCs w:val="28"/>
              </w:rPr>
              <w:t>三线一单</w:t>
            </w:r>
            <w:r>
              <w:rPr>
                <w:rFonts w:hint="eastAsia"/>
                <w:b/>
                <w:bCs/>
                <w:color w:val="auto"/>
                <w:kern w:val="0"/>
                <w:sz w:val="28"/>
                <w:szCs w:val="28"/>
                <w:lang w:eastAsia="zh-CN"/>
              </w:rPr>
              <w:t>”</w:t>
            </w:r>
            <w:r>
              <w:rPr>
                <w:b/>
                <w:bCs/>
                <w:color w:val="auto"/>
                <w:kern w:val="0"/>
                <w:sz w:val="28"/>
                <w:szCs w:val="28"/>
              </w:rPr>
              <w:t>符合性分析</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根据环境保护部《关于以改善环境质量为核心加强环境影响评价管理的通知》（环环评〔2016〕150号），三线一清单中的三线是指</w:t>
            </w:r>
            <w:r>
              <w:rPr>
                <w:rFonts w:hint="eastAsia"/>
                <w:color w:val="auto"/>
                <w:kern w:val="0"/>
                <w:sz w:val="28"/>
                <w:szCs w:val="28"/>
                <w:lang w:eastAsia="zh-CN"/>
              </w:rPr>
              <w:t>“</w:t>
            </w:r>
            <w:r>
              <w:rPr>
                <w:color w:val="auto"/>
                <w:kern w:val="0"/>
                <w:sz w:val="28"/>
                <w:szCs w:val="28"/>
              </w:rPr>
              <w:t>生态保护红线、环境质量底线、资源利用上线</w:t>
            </w:r>
            <w:r>
              <w:rPr>
                <w:rFonts w:hint="eastAsia"/>
                <w:color w:val="auto"/>
                <w:kern w:val="0"/>
                <w:sz w:val="28"/>
                <w:szCs w:val="28"/>
                <w:lang w:eastAsia="zh-CN"/>
              </w:rPr>
              <w:t>”</w:t>
            </w:r>
            <w:r>
              <w:rPr>
                <w:color w:val="auto"/>
                <w:kern w:val="0"/>
                <w:sz w:val="28"/>
                <w:szCs w:val="28"/>
              </w:rPr>
              <w:t>，一清单为生态环境准入清单。</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1）生态保护红线</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生态保护红线是生态空间范围内具有特殊重要生态功能必须实行强制性严格保护的区域。</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本项目为</w:t>
            </w:r>
            <w:r>
              <w:rPr>
                <w:rFonts w:hint="eastAsia"/>
                <w:color w:val="auto"/>
                <w:kern w:val="0"/>
                <w:sz w:val="28"/>
                <w:szCs w:val="28"/>
              </w:rPr>
              <w:t>新建</w:t>
            </w:r>
            <w:r>
              <w:rPr>
                <w:color w:val="auto"/>
                <w:kern w:val="0"/>
                <w:sz w:val="28"/>
                <w:szCs w:val="28"/>
              </w:rPr>
              <w:t>项目，项目区位于</w:t>
            </w:r>
            <w:r>
              <w:rPr>
                <w:rFonts w:hint="eastAsia"/>
                <w:color w:val="auto"/>
                <w:kern w:val="0"/>
                <w:sz w:val="28"/>
                <w:szCs w:val="28"/>
              </w:rPr>
              <w:t>巩留县恰甫其海路南侧东三路西侧</w:t>
            </w:r>
            <w:r>
              <w:rPr>
                <w:color w:val="auto"/>
                <w:kern w:val="0"/>
                <w:sz w:val="28"/>
                <w:szCs w:val="28"/>
              </w:rPr>
              <w:t>。根据《关于印发&lt;生态保护红线划定指南&gt;的通知》中结合自然边界、自然保护区、风景名胜区等各类保护地边界、江河、湖库以及海岸等向陆域延伸一定距离的边界、地理国情普查、全国土地调查、森林草原湿地荒漠等自然资源调查等明确的地块边界划定生态保护红线的原则，本项目所在地不涉及划定指南中相关区域，因此判定项目建设不涉及生态红线保护区域，符合生态保护红线要求。</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2）环境质量底线</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环境质量底线就是只能改善不能恶化。大气环境质量底线就是在符合区域大气环境功能区划和大气环境管理的基础上，确保大气污染物排放不对区域功能区划造成影响，污染物排放总量低于大气环境容量。</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①空气：项目在严格执行环评中所提出的废气治理措施后，满足相应排放标准，排放量较少，对环境空气影响较小，不会降低区域环境空气质量。</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②水环境：</w:t>
            </w:r>
            <w:r>
              <w:rPr>
                <w:rFonts w:hint="eastAsia"/>
                <w:color w:val="auto"/>
                <w:kern w:val="0"/>
                <w:sz w:val="28"/>
                <w:szCs w:val="28"/>
              </w:rPr>
              <w:t>本</w:t>
            </w:r>
            <w:r>
              <w:rPr>
                <w:color w:val="auto"/>
                <w:kern w:val="0"/>
                <w:sz w:val="28"/>
                <w:szCs w:val="28"/>
              </w:rPr>
              <w:t>项目为</w:t>
            </w:r>
            <w:r>
              <w:rPr>
                <w:rFonts w:hint="eastAsia"/>
                <w:color w:val="auto"/>
                <w:kern w:val="0"/>
                <w:sz w:val="28"/>
                <w:szCs w:val="28"/>
              </w:rPr>
              <w:t>新型材料加工厂</w:t>
            </w:r>
            <w:r>
              <w:rPr>
                <w:color w:val="auto"/>
                <w:kern w:val="0"/>
                <w:sz w:val="28"/>
                <w:szCs w:val="28"/>
              </w:rPr>
              <w:t>，</w:t>
            </w:r>
            <w:r>
              <w:rPr>
                <w:rFonts w:hint="eastAsia"/>
                <w:color w:val="auto"/>
                <w:kern w:val="0"/>
                <w:sz w:val="28"/>
                <w:szCs w:val="28"/>
              </w:rPr>
              <w:t>主要废水为生活废水，本项目全厂敷设下水管网，与市政总排水管网接入</w:t>
            </w:r>
            <w:r>
              <w:rPr>
                <w:color w:val="auto"/>
                <w:kern w:val="0"/>
                <w:sz w:val="28"/>
                <w:szCs w:val="28"/>
              </w:rPr>
              <w:t>，</w:t>
            </w:r>
            <w:r>
              <w:rPr>
                <w:rFonts w:hint="eastAsia"/>
                <w:bCs/>
                <w:color w:val="auto"/>
                <w:sz w:val="28"/>
              </w:rPr>
              <w:t>由巩留县城北污水处理厂处理达标后排放，项目建成后对地表水环境质量影响较小，不会降低区域水环境质量。</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3）资源利用上线</w:t>
            </w:r>
          </w:p>
          <w:p>
            <w:pPr>
              <w:autoSpaceDE w:val="0"/>
              <w:autoSpaceDN w:val="0"/>
              <w:adjustRightInd w:val="0"/>
              <w:snapToGrid w:val="0"/>
              <w:spacing w:line="520" w:lineRule="exact"/>
              <w:ind w:firstLine="560" w:firstLineChars="200"/>
              <w:rPr>
                <w:color w:val="auto"/>
                <w:kern w:val="0"/>
                <w:sz w:val="28"/>
                <w:szCs w:val="28"/>
              </w:rPr>
            </w:pPr>
            <w:r>
              <w:rPr>
                <w:rFonts w:hint="eastAsia"/>
                <w:bCs/>
                <w:color w:val="auto"/>
                <w:sz w:val="28"/>
              </w:rPr>
              <w:t>本项目运用过程中消耗一定的电能、水，资源消耗量相对于区域资源利用总量较少，符合资源利用上线要求。</w:t>
            </w:r>
          </w:p>
          <w:p>
            <w:pPr>
              <w:autoSpaceDE w:val="0"/>
              <w:autoSpaceDN w:val="0"/>
              <w:adjustRightInd w:val="0"/>
              <w:snapToGrid w:val="0"/>
              <w:spacing w:line="520" w:lineRule="exact"/>
              <w:ind w:firstLine="560" w:firstLineChars="200"/>
              <w:rPr>
                <w:color w:val="auto"/>
                <w:kern w:val="0"/>
                <w:sz w:val="28"/>
                <w:szCs w:val="28"/>
              </w:rPr>
            </w:pPr>
            <w:r>
              <w:rPr>
                <w:color w:val="auto"/>
                <w:kern w:val="0"/>
                <w:sz w:val="28"/>
                <w:szCs w:val="28"/>
              </w:rPr>
              <w:t>4）生态环境准入清单</w:t>
            </w:r>
          </w:p>
          <w:p>
            <w:pPr>
              <w:widowControl/>
              <w:spacing w:line="520" w:lineRule="exact"/>
              <w:ind w:firstLine="560" w:firstLineChars="200"/>
              <w:jc w:val="left"/>
              <w:rPr>
                <w:color w:val="auto"/>
                <w:kern w:val="0"/>
                <w:sz w:val="28"/>
                <w:szCs w:val="28"/>
              </w:rPr>
            </w:pPr>
            <w:r>
              <w:rPr>
                <w:rFonts w:hint="eastAsia"/>
                <w:color w:val="auto"/>
                <w:sz w:val="28"/>
                <w:szCs w:val="28"/>
              </w:rPr>
              <w:t>本项目未被列入《新疆维吾尔自治区28个国家重点生态功能区县（市）产业准入负面清单（试行）》、《新疆维吾尔自治区17个新增纳入国家重点生态功能区县（市）产业准入负面清单（试行）》、《市场准入负面清单》（2020年版）限制目录。</w:t>
            </w:r>
          </w:p>
          <w:p>
            <w:pPr>
              <w:autoSpaceDE w:val="0"/>
              <w:autoSpaceDN w:val="0"/>
              <w:adjustRightInd w:val="0"/>
              <w:snapToGrid w:val="0"/>
              <w:spacing w:line="520" w:lineRule="exact"/>
              <w:ind w:firstLine="560" w:firstLineChars="200"/>
              <w:rPr>
                <w:rFonts w:eastAsia="黑体"/>
                <w:color w:val="auto"/>
                <w:sz w:val="24"/>
              </w:rPr>
            </w:pPr>
            <w:r>
              <w:rPr>
                <w:rFonts w:hint="eastAsia"/>
                <w:color w:val="auto"/>
                <w:kern w:val="0"/>
                <w:sz w:val="28"/>
                <w:szCs w:val="28"/>
              </w:rPr>
              <w:t>根据《伊犁州直</w:t>
            </w:r>
            <w:r>
              <w:rPr>
                <w:rFonts w:hint="eastAsia"/>
                <w:color w:val="auto"/>
                <w:kern w:val="0"/>
                <w:sz w:val="28"/>
                <w:szCs w:val="28"/>
                <w:lang w:eastAsia="zh-CN"/>
              </w:rPr>
              <w:t>“</w:t>
            </w:r>
            <w:r>
              <w:rPr>
                <w:rFonts w:hint="eastAsia"/>
                <w:color w:val="auto"/>
                <w:kern w:val="0"/>
                <w:sz w:val="28"/>
                <w:szCs w:val="28"/>
              </w:rPr>
              <w:t>三线一单</w:t>
            </w:r>
            <w:r>
              <w:rPr>
                <w:rFonts w:hint="eastAsia"/>
                <w:color w:val="auto"/>
                <w:kern w:val="0"/>
                <w:sz w:val="28"/>
                <w:szCs w:val="28"/>
                <w:lang w:eastAsia="zh-CN"/>
              </w:rPr>
              <w:t>”</w:t>
            </w:r>
            <w:r>
              <w:rPr>
                <w:rFonts w:hint="eastAsia"/>
                <w:color w:val="auto"/>
                <w:kern w:val="0"/>
                <w:sz w:val="28"/>
                <w:szCs w:val="28"/>
              </w:rPr>
              <w:t>生态环境分区管控方案》、《伊犁州直区域空间生态评价暨</w:t>
            </w:r>
            <w:r>
              <w:rPr>
                <w:rFonts w:hint="eastAsia"/>
                <w:color w:val="auto"/>
                <w:kern w:val="0"/>
                <w:sz w:val="28"/>
                <w:szCs w:val="28"/>
                <w:lang w:eastAsia="zh-CN"/>
              </w:rPr>
              <w:t>“</w:t>
            </w:r>
            <w:r>
              <w:rPr>
                <w:rFonts w:hint="eastAsia"/>
                <w:color w:val="auto"/>
                <w:kern w:val="0"/>
                <w:sz w:val="28"/>
                <w:szCs w:val="28"/>
              </w:rPr>
              <w:t>三线一单</w:t>
            </w:r>
            <w:r>
              <w:rPr>
                <w:rFonts w:hint="eastAsia"/>
                <w:color w:val="auto"/>
                <w:kern w:val="0"/>
                <w:sz w:val="28"/>
                <w:szCs w:val="28"/>
                <w:lang w:eastAsia="zh-CN"/>
              </w:rPr>
              <w:t>”</w:t>
            </w:r>
            <w:r>
              <w:rPr>
                <w:rFonts w:hint="eastAsia"/>
                <w:color w:val="auto"/>
                <w:kern w:val="0"/>
                <w:sz w:val="28"/>
                <w:szCs w:val="28"/>
              </w:rPr>
              <w:t>生态环境准入清单》（以下简称</w:t>
            </w:r>
            <w:r>
              <w:rPr>
                <w:rFonts w:hint="eastAsia"/>
                <w:color w:val="auto"/>
                <w:kern w:val="0"/>
                <w:sz w:val="28"/>
                <w:szCs w:val="28"/>
                <w:lang w:eastAsia="zh-CN"/>
              </w:rPr>
              <w:t>“</w:t>
            </w:r>
            <w:r>
              <w:rPr>
                <w:rFonts w:hint="eastAsia"/>
                <w:color w:val="auto"/>
                <w:kern w:val="0"/>
                <w:sz w:val="28"/>
                <w:szCs w:val="28"/>
              </w:rPr>
              <w:t>清单</w:t>
            </w:r>
            <w:r>
              <w:rPr>
                <w:rFonts w:hint="eastAsia"/>
                <w:color w:val="auto"/>
                <w:kern w:val="0"/>
                <w:sz w:val="28"/>
                <w:szCs w:val="28"/>
                <w:lang w:eastAsia="zh-CN"/>
              </w:rPr>
              <w:t>”</w:t>
            </w:r>
            <w:r>
              <w:rPr>
                <w:rFonts w:hint="eastAsia"/>
                <w:color w:val="auto"/>
                <w:kern w:val="0"/>
                <w:sz w:val="28"/>
                <w:szCs w:val="28"/>
              </w:rPr>
              <w:t>），本项目位于巩留县</w:t>
            </w:r>
            <w:r>
              <w:rPr>
                <w:rFonts w:hint="eastAsia"/>
                <w:color w:val="auto"/>
                <w:kern w:val="0"/>
                <w:sz w:val="28"/>
                <w:szCs w:val="28"/>
                <w:lang w:val="en-US" w:eastAsia="zh-CN"/>
              </w:rPr>
              <w:t>B02</w:t>
            </w:r>
            <w:r>
              <w:rPr>
                <w:rFonts w:hint="eastAsia"/>
                <w:color w:val="auto"/>
                <w:kern w:val="0"/>
                <w:sz w:val="28"/>
                <w:szCs w:val="28"/>
              </w:rPr>
              <w:t>重点保护单元</w:t>
            </w:r>
            <w:r>
              <w:rPr>
                <w:rFonts w:hint="eastAsia"/>
                <w:color w:val="auto"/>
                <w:kern w:val="0"/>
                <w:sz w:val="28"/>
                <w:szCs w:val="28"/>
                <w:lang w:eastAsia="zh-CN"/>
              </w:rPr>
              <w:t>，环境管控单元编号为</w:t>
            </w:r>
            <w:r>
              <w:rPr>
                <w:rFonts w:hint="eastAsia"/>
                <w:color w:val="auto"/>
                <w:kern w:val="0"/>
                <w:sz w:val="28"/>
                <w:szCs w:val="28"/>
                <w:lang w:val="en-US" w:eastAsia="zh-CN"/>
              </w:rPr>
              <w:t>ZH65402420002</w:t>
            </w:r>
            <w:r>
              <w:rPr>
                <w:rFonts w:hint="eastAsia"/>
                <w:color w:val="auto"/>
                <w:kern w:val="0"/>
                <w:sz w:val="28"/>
                <w:szCs w:val="28"/>
              </w:rPr>
              <w:t>，相关要求分析如下：</w:t>
            </w: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rFonts w:eastAsia="黑体"/>
                <w:color w:val="auto"/>
                <w:sz w:val="24"/>
              </w:rPr>
            </w:pPr>
          </w:p>
          <w:p>
            <w:pPr>
              <w:autoSpaceDE w:val="0"/>
              <w:autoSpaceDN w:val="0"/>
              <w:adjustRightInd w:val="0"/>
              <w:snapToGrid w:val="0"/>
              <w:ind w:firstLine="480" w:firstLineChars="200"/>
              <w:rPr>
                <w:color w:val="auto"/>
                <w:kern w:val="0"/>
                <w:sz w:val="28"/>
                <w:szCs w:val="28"/>
              </w:rPr>
            </w:pPr>
            <w:r>
              <w:rPr>
                <w:rFonts w:eastAsia="黑体"/>
                <w:color w:val="auto"/>
                <w:sz w:val="24"/>
              </w:rPr>
              <w:t xml:space="preserve">表1      </w:t>
            </w:r>
            <w:r>
              <w:rPr>
                <w:rFonts w:hint="eastAsia" w:eastAsia="黑体"/>
                <w:color w:val="auto"/>
                <w:sz w:val="24"/>
              </w:rPr>
              <w:t>分区管控要求</w:t>
            </w:r>
            <w:r>
              <w:rPr>
                <w:rFonts w:eastAsia="黑体"/>
                <w:color w:val="auto"/>
                <w:sz w:val="24"/>
              </w:rPr>
              <w:t>符合性分析</w:t>
            </w:r>
          </w:p>
          <w:tbl>
            <w:tblPr>
              <w:tblStyle w:val="18"/>
              <w:tblW w:w="4995"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788"/>
              <w:gridCol w:w="3116"/>
              <w:gridCol w:w="2539"/>
              <w:gridCol w:w="694"/>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634" w:hRule="exact"/>
                <w:jc w:val="center"/>
              </w:trPr>
              <w:tc>
                <w:tcPr>
                  <w:tcW w:w="788" w:type="dxa"/>
                  <w:vAlign w:val="center"/>
                </w:tcPr>
                <w:p>
                  <w:pPr>
                    <w:autoSpaceDE w:val="0"/>
                    <w:autoSpaceDN w:val="0"/>
                    <w:adjustRightInd w:val="0"/>
                    <w:snapToGrid w:val="0"/>
                    <w:jc w:val="center"/>
                    <w:rPr>
                      <w:color w:val="auto"/>
                      <w:szCs w:val="21"/>
                    </w:rPr>
                  </w:pPr>
                  <w:r>
                    <w:rPr>
                      <w:rFonts w:hint="eastAsia"/>
                      <w:color w:val="auto"/>
                      <w:szCs w:val="21"/>
                    </w:rPr>
                    <w:t>管控维度</w:t>
                  </w:r>
                </w:p>
              </w:tc>
              <w:tc>
                <w:tcPr>
                  <w:tcW w:w="3116" w:type="dxa"/>
                  <w:vAlign w:val="center"/>
                </w:tcPr>
                <w:p>
                  <w:pPr>
                    <w:autoSpaceDE w:val="0"/>
                    <w:autoSpaceDN w:val="0"/>
                    <w:adjustRightInd w:val="0"/>
                    <w:snapToGrid w:val="0"/>
                    <w:jc w:val="center"/>
                    <w:rPr>
                      <w:color w:val="auto"/>
                      <w:szCs w:val="21"/>
                    </w:rPr>
                  </w:pPr>
                  <w:r>
                    <w:rPr>
                      <w:rFonts w:hint="eastAsia"/>
                      <w:color w:val="auto"/>
                      <w:szCs w:val="21"/>
                    </w:rPr>
                    <w:t>管控要求</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本工程情况</w:t>
                  </w:r>
                </w:p>
              </w:tc>
              <w:tc>
                <w:tcPr>
                  <w:tcW w:w="694" w:type="dxa"/>
                  <w:vAlign w:val="center"/>
                </w:tcPr>
                <w:p>
                  <w:pPr>
                    <w:autoSpaceDE w:val="0"/>
                    <w:autoSpaceDN w:val="0"/>
                    <w:adjustRightInd w:val="0"/>
                    <w:snapToGrid w:val="0"/>
                    <w:jc w:val="center"/>
                    <w:rPr>
                      <w:color w:val="auto"/>
                      <w:szCs w:val="21"/>
                    </w:rPr>
                  </w:pPr>
                  <w:r>
                    <w:rPr>
                      <w:color w:val="auto"/>
                      <w:szCs w:val="21"/>
                    </w:rPr>
                    <w:t>符合性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214" w:hRule="exact"/>
                <w:jc w:val="center"/>
              </w:trPr>
              <w:tc>
                <w:tcPr>
                  <w:tcW w:w="788" w:type="dxa"/>
                  <w:vAlign w:val="center"/>
                </w:tcPr>
                <w:p>
                  <w:pPr>
                    <w:autoSpaceDE w:val="0"/>
                    <w:autoSpaceDN w:val="0"/>
                    <w:adjustRightInd w:val="0"/>
                    <w:snapToGrid w:val="0"/>
                    <w:jc w:val="center"/>
                    <w:rPr>
                      <w:color w:val="auto"/>
                      <w:szCs w:val="21"/>
                    </w:rPr>
                  </w:pPr>
                  <w:r>
                    <w:rPr>
                      <w:rFonts w:hint="eastAsia"/>
                      <w:color w:val="auto"/>
                      <w:szCs w:val="21"/>
                    </w:rPr>
                    <w:t>空间布局约束</w:t>
                  </w:r>
                </w:p>
              </w:tc>
              <w:tc>
                <w:tcPr>
                  <w:tcW w:w="3116" w:type="dxa"/>
                  <w:vAlign w:val="center"/>
                </w:tcPr>
                <w:p>
                  <w:pPr>
                    <w:autoSpaceDE w:val="0"/>
                    <w:autoSpaceDN w:val="0"/>
                    <w:adjustRightInd w:val="0"/>
                    <w:snapToGrid w:val="0"/>
                    <w:rPr>
                      <w:color w:val="auto"/>
                      <w:szCs w:val="21"/>
                    </w:rPr>
                  </w:pPr>
                  <w:r>
                    <w:rPr>
                      <w:rFonts w:hint="eastAsia"/>
                      <w:color w:val="auto"/>
                      <w:szCs w:val="21"/>
                    </w:rPr>
                    <w:t>下列项目禁止或限制入园：</w:t>
                  </w:r>
                  <w:r>
                    <w:rPr>
                      <w:color w:val="auto"/>
                      <w:szCs w:val="21"/>
                    </w:rPr>
                    <w:t>（1）</w:t>
                  </w:r>
                  <w:r>
                    <w:rPr>
                      <w:rFonts w:hint="eastAsia"/>
                      <w:color w:val="auto"/>
                      <w:szCs w:val="21"/>
                    </w:rPr>
                    <w:t>不符合经济开发区产业定位的行业；</w:t>
                  </w:r>
                  <w:r>
                    <w:rPr>
                      <w:color w:val="auto"/>
                      <w:szCs w:val="21"/>
                    </w:rPr>
                    <w:t>（2）</w:t>
                  </w:r>
                  <w:r>
                    <w:rPr>
                      <w:rFonts w:hint="eastAsia"/>
                      <w:color w:val="auto"/>
                      <w:szCs w:val="21"/>
                    </w:rPr>
                    <w:t>废水含难降解的有机污染物、</w:t>
                  </w:r>
                  <w:r>
                    <w:rPr>
                      <w:rFonts w:hint="eastAsia"/>
                      <w:color w:val="auto"/>
                      <w:szCs w:val="21"/>
                      <w:lang w:eastAsia="zh-CN"/>
                    </w:rPr>
                    <w:t>“</w:t>
                  </w:r>
                  <w:r>
                    <w:rPr>
                      <w:rFonts w:hint="eastAsia"/>
                      <w:color w:val="auto"/>
                      <w:szCs w:val="21"/>
                    </w:rPr>
                    <w:t>三致</w:t>
                  </w:r>
                  <w:r>
                    <w:rPr>
                      <w:rFonts w:hint="eastAsia"/>
                      <w:color w:val="auto"/>
                      <w:szCs w:val="21"/>
                      <w:lang w:eastAsia="zh-CN"/>
                    </w:rPr>
                    <w:t>”</w:t>
                  </w:r>
                  <w:r>
                    <w:rPr>
                      <w:rFonts w:hint="eastAsia"/>
                      <w:color w:val="auto"/>
                      <w:szCs w:val="21"/>
                    </w:rPr>
                    <w:t>污染物项目；</w:t>
                  </w:r>
                  <w:r>
                    <w:rPr>
                      <w:color w:val="auto"/>
                      <w:szCs w:val="21"/>
                    </w:rPr>
                    <w:t>（3）</w:t>
                  </w:r>
                  <w:r>
                    <w:rPr>
                      <w:rFonts w:hint="eastAsia"/>
                      <w:color w:val="auto"/>
                      <w:szCs w:val="21"/>
                    </w:rPr>
                    <w:t>《产业结构调整指导目录（</w:t>
                  </w:r>
                  <w:r>
                    <w:rPr>
                      <w:color w:val="auto"/>
                      <w:szCs w:val="21"/>
                    </w:rPr>
                    <w:t>2019</w:t>
                  </w:r>
                  <w:r>
                    <w:rPr>
                      <w:rFonts w:hint="eastAsia"/>
                      <w:color w:val="auto"/>
                      <w:szCs w:val="21"/>
                    </w:rPr>
                    <w:t>年本）》中的限制类、淘汰类；</w:t>
                  </w:r>
                  <w:r>
                    <w:rPr>
                      <w:color w:val="auto"/>
                      <w:szCs w:val="21"/>
                    </w:rPr>
                    <w:t>（4）</w:t>
                  </w:r>
                  <w:r>
                    <w:rPr>
                      <w:rFonts w:hint="eastAsia"/>
                      <w:color w:val="auto"/>
                      <w:szCs w:val="21"/>
                    </w:rPr>
                    <w:t>《市场准入负面清单（2020年版）》中列出的禁止准入类项目；</w:t>
                  </w:r>
                  <w:r>
                    <w:rPr>
                      <w:color w:val="auto"/>
                      <w:szCs w:val="21"/>
                    </w:rPr>
                    <w:t>（5）</w:t>
                  </w:r>
                  <w:r>
                    <w:rPr>
                      <w:rFonts w:hint="eastAsia"/>
                      <w:color w:val="auto"/>
                      <w:szCs w:val="21"/>
                    </w:rPr>
                    <w:t>《环境保护综合名录（</w:t>
                  </w:r>
                  <w:r>
                    <w:rPr>
                      <w:color w:val="auto"/>
                      <w:szCs w:val="21"/>
                    </w:rPr>
                    <w:t>2017</w:t>
                  </w:r>
                  <w:r>
                    <w:rPr>
                      <w:rFonts w:hint="eastAsia"/>
                      <w:color w:val="auto"/>
                      <w:szCs w:val="21"/>
                    </w:rPr>
                    <w:t>年版）》、《环境保护综合名录（</w:t>
                  </w:r>
                  <w:r>
                    <w:rPr>
                      <w:color w:val="auto"/>
                      <w:szCs w:val="21"/>
                    </w:rPr>
                    <w:t>2020</w:t>
                  </w:r>
                  <w:r>
                    <w:rPr>
                      <w:rFonts w:hint="eastAsia"/>
                      <w:color w:val="auto"/>
                      <w:szCs w:val="21"/>
                    </w:rPr>
                    <w:t>年新增部分）（征求意见稿）》中</w:t>
                  </w:r>
                  <w:r>
                    <w:rPr>
                      <w:rFonts w:hint="eastAsia"/>
                      <w:color w:val="auto"/>
                      <w:szCs w:val="21"/>
                      <w:lang w:eastAsia="zh-CN"/>
                    </w:rPr>
                    <w:t>“</w:t>
                  </w:r>
                  <w:r>
                    <w:rPr>
                      <w:rFonts w:hint="eastAsia"/>
                      <w:color w:val="auto"/>
                      <w:szCs w:val="21"/>
                    </w:rPr>
                    <w:t>高污染、高风险</w:t>
                  </w:r>
                  <w:r>
                    <w:rPr>
                      <w:rFonts w:hint="eastAsia"/>
                      <w:color w:val="auto"/>
                      <w:szCs w:val="21"/>
                      <w:lang w:eastAsia="zh-CN"/>
                    </w:rPr>
                    <w:t>”</w:t>
                  </w:r>
                  <w:r>
                    <w:rPr>
                      <w:rFonts w:hint="eastAsia"/>
                      <w:color w:val="auto"/>
                      <w:szCs w:val="21"/>
                    </w:rPr>
                    <w:t>产品加工项目；</w:t>
                  </w:r>
                  <w:r>
                    <w:rPr>
                      <w:color w:val="auto"/>
                      <w:szCs w:val="21"/>
                    </w:rPr>
                    <w:t>（6）</w:t>
                  </w:r>
                  <w:r>
                    <w:rPr>
                      <w:rFonts w:hint="eastAsia"/>
                      <w:color w:val="auto"/>
                      <w:szCs w:val="21"/>
                    </w:rPr>
                    <w:t>超过区域污染物排放总量的项目。</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本项目属于橡胶和塑料制品业中塑料制品业项目，不属于《产业结构调整指导目录（</w:t>
                  </w:r>
                  <w:r>
                    <w:rPr>
                      <w:color w:val="auto"/>
                      <w:szCs w:val="21"/>
                    </w:rPr>
                    <w:t>2019</w:t>
                  </w:r>
                  <w:r>
                    <w:rPr>
                      <w:rFonts w:hint="eastAsia"/>
                      <w:color w:val="auto"/>
                      <w:szCs w:val="21"/>
                    </w:rPr>
                    <w:t>年本）》中的限制类、淘汰类以及《市场准入负面清单（2020年版）》中列出的禁止准入类项目，也不属于</w:t>
                  </w:r>
                  <w:r>
                    <w:rPr>
                      <w:rFonts w:hint="eastAsia"/>
                      <w:color w:val="auto"/>
                      <w:szCs w:val="21"/>
                      <w:lang w:eastAsia="zh-CN"/>
                    </w:rPr>
                    <w:t>“</w:t>
                  </w:r>
                  <w:r>
                    <w:rPr>
                      <w:rFonts w:hint="eastAsia"/>
                      <w:color w:val="auto"/>
                      <w:szCs w:val="21"/>
                    </w:rPr>
                    <w:t>高污染、高风险</w:t>
                  </w:r>
                  <w:r>
                    <w:rPr>
                      <w:rFonts w:hint="eastAsia"/>
                      <w:color w:val="auto"/>
                      <w:szCs w:val="21"/>
                      <w:lang w:eastAsia="zh-CN"/>
                    </w:rPr>
                    <w:t>”</w:t>
                  </w:r>
                  <w:r>
                    <w:rPr>
                      <w:rFonts w:hint="eastAsia"/>
                      <w:color w:val="auto"/>
                      <w:szCs w:val="21"/>
                    </w:rPr>
                    <w:t>产品加工项目。</w:t>
                  </w:r>
                </w:p>
              </w:tc>
              <w:tc>
                <w:tcPr>
                  <w:tcW w:w="694" w:type="dxa"/>
                  <w:vAlign w:val="center"/>
                </w:tcPr>
                <w:p>
                  <w:pPr>
                    <w:autoSpaceDE w:val="0"/>
                    <w:autoSpaceDN w:val="0"/>
                    <w:adjustRightInd w:val="0"/>
                    <w:snapToGrid w:val="0"/>
                    <w:jc w:val="center"/>
                    <w:rPr>
                      <w:color w:val="auto"/>
                      <w:szCs w:val="21"/>
                    </w:rPr>
                  </w:pPr>
                  <w:r>
                    <w:rPr>
                      <w:rFonts w:hint="eastAsia"/>
                      <w:color w:val="auto"/>
                      <w:szCs w:val="21"/>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588" w:hRule="exact"/>
                <w:jc w:val="center"/>
              </w:trPr>
              <w:tc>
                <w:tcPr>
                  <w:tcW w:w="788" w:type="dxa"/>
                  <w:vAlign w:val="center"/>
                </w:tcPr>
                <w:p>
                  <w:pPr>
                    <w:autoSpaceDE w:val="0"/>
                    <w:autoSpaceDN w:val="0"/>
                    <w:adjustRightInd w:val="0"/>
                    <w:snapToGrid w:val="0"/>
                    <w:jc w:val="center"/>
                    <w:rPr>
                      <w:color w:val="auto"/>
                      <w:szCs w:val="21"/>
                    </w:rPr>
                  </w:pPr>
                  <w:r>
                    <w:rPr>
                      <w:rFonts w:hint="eastAsia"/>
                      <w:color w:val="auto"/>
                      <w:szCs w:val="21"/>
                    </w:rPr>
                    <w:t>污染物排放管控</w:t>
                  </w:r>
                </w:p>
              </w:tc>
              <w:tc>
                <w:tcPr>
                  <w:tcW w:w="3116" w:type="dxa"/>
                  <w:vAlign w:val="center"/>
                </w:tcPr>
                <w:p>
                  <w:pPr>
                    <w:autoSpaceDE w:val="0"/>
                    <w:autoSpaceDN w:val="0"/>
                    <w:adjustRightInd w:val="0"/>
                    <w:snapToGrid w:val="0"/>
                    <w:jc w:val="center"/>
                    <w:rPr>
                      <w:color w:val="auto"/>
                      <w:szCs w:val="21"/>
                    </w:rPr>
                  </w:pPr>
                  <w:r>
                    <w:rPr>
                      <w:rFonts w:hint="eastAsia"/>
                      <w:color w:val="auto"/>
                      <w:szCs w:val="21"/>
                    </w:rPr>
                    <w:t>（1）</w:t>
                  </w:r>
                  <w:r>
                    <w:rPr>
                      <w:color w:val="auto"/>
                      <w:szCs w:val="21"/>
                    </w:rPr>
                    <w:t>锅炉污染物排放应达到《</w:t>
                  </w:r>
                  <w:r>
                    <w:rPr>
                      <w:rFonts w:hint="eastAsia"/>
                      <w:color w:val="auto"/>
                      <w:szCs w:val="21"/>
                    </w:rPr>
                    <w:t>锅</w:t>
                  </w:r>
                  <w:r>
                    <w:rPr>
                      <w:color w:val="auto"/>
                      <w:szCs w:val="21"/>
                    </w:rPr>
                    <w:t>炉大气污染物排放标准（GB13271-2014）》的相关要求</w:t>
                  </w:r>
                  <w:r>
                    <w:rPr>
                      <w:rFonts w:hint="eastAsia"/>
                      <w:color w:val="auto"/>
                      <w:szCs w:val="21"/>
                    </w:rPr>
                    <w:t>；（2）</w:t>
                  </w:r>
                  <w:r>
                    <w:rPr>
                      <w:color w:val="auto"/>
                      <w:szCs w:val="21"/>
                    </w:rPr>
                    <w:t>园区企业废水有行业标准的执行行业标准，无行业标准的执行《污水综合排放标准》</w:t>
                  </w:r>
                  <w:r>
                    <w:rPr>
                      <w:rFonts w:hint="eastAsia"/>
                      <w:color w:val="auto"/>
                      <w:szCs w:val="21"/>
                      <w:lang w:eastAsia="zh-CN"/>
                    </w:rPr>
                    <w:t>（</w:t>
                  </w:r>
                  <w:r>
                    <w:rPr>
                      <w:color w:val="auto"/>
                      <w:szCs w:val="21"/>
                    </w:rPr>
                    <w:t>GB8978-1996</w:t>
                  </w:r>
                  <w:r>
                    <w:rPr>
                      <w:rFonts w:hint="eastAsia"/>
                      <w:color w:val="auto"/>
                      <w:szCs w:val="21"/>
                      <w:lang w:eastAsia="zh-CN"/>
                    </w:rPr>
                    <w:t>）</w:t>
                  </w:r>
                  <w:r>
                    <w:rPr>
                      <w:color w:val="auto"/>
                      <w:szCs w:val="21"/>
                    </w:rPr>
                    <w:t>三级标准及污水处理厂进水水质要求；污水处理厂出水执行《城镇污水处理厂污染物排放标准》(GB18918-2002)一级A 标准。</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本项目属于橡胶和塑料制品业中塑料制品业项目，项目主要废水为员工生活污水，生活污水排入市政下水管网。锅炉废气经处理后满足</w:t>
                  </w:r>
                  <w:r>
                    <w:rPr>
                      <w:color w:val="auto"/>
                      <w:szCs w:val="21"/>
                    </w:rPr>
                    <w:t>《</w:t>
                  </w:r>
                  <w:r>
                    <w:rPr>
                      <w:rFonts w:hint="eastAsia"/>
                      <w:color w:val="auto"/>
                      <w:szCs w:val="21"/>
                    </w:rPr>
                    <w:t>锅</w:t>
                  </w:r>
                  <w:r>
                    <w:rPr>
                      <w:color w:val="auto"/>
                      <w:szCs w:val="21"/>
                    </w:rPr>
                    <w:t>炉大气污染物排放标准（GB13271-2014）》</w:t>
                  </w:r>
                  <w:r>
                    <w:rPr>
                      <w:rFonts w:hint="eastAsia"/>
                      <w:color w:val="auto"/>
                      <w:szCs w:val="21"/>
                    </w:rPr>
                    <w:t>达标排放</w:t>
                  </w:r>
                </w:p>
              </w:tc>
              <w:tc>
                <w:tcPr>
                  <w:tcW w:w="694" w:type="dxa"/>
                  <w:vAlign w:val="center"/>
                </w:tcPr>
                <w:p>
                  <w:pPr>
                    <w:autoSpaceDE w:val="0"/>
                    <w:autoSpaceDN w:val="0"/>
                    <w:adjustRightInd w:val="0"/>
                    <w:snapToGrid w:val="0"/>
                    <w:jc w:val="center"/>
                    <w:rPr>
                      <w:color w:val="auto"/>
                      <w:szCs w:val="21"/>
                    </w:rPr>
                  </w:pPr>
                  <w:r>
                    <w:rPr>
                      <w:rFonts w:hint="eastAsia"/>
                      <w:color w:val="auto"/>
                      <w:szCs w:val="21"/>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972" w:hRule="exact"/>
                <w:jc w:val="center"/>
              </w:trPr>
              <w:tc>
                <w:tcPr>
                  <w:tcW w:w="788" w:type="dxa"/>
                  <w:vAlign w:val="center"/>
                </w:tcPr>
                <w:p>
                  <w:pPr>
                    <w:autoSpaceDE w:val="0"/>
                    <w:autoSpaceDN w:val="0"/>
                    <w:adjustRightInd w:val="0"/>
                    <w:snapToGrid w:val="0"/>
                    <w:jc w:val="center"/>
                    <w:rPr>
                      <w:color w:val="auto"/>
                      <w:szCs w:val="21"/>
                    </w:rPr>
                  </w:pPr>
                  <w:r>
                    <w:rPr>
                      <w:rFonts w:hint="eastAsia"/>
                      <w:color w:val="auto"/>
                      <w:szCs w:val="21"/>
                    </w:rPr>
                    <w:t>环境风险防控</w:t>
                  </w:r>
                </w:p>
              </w:tc>
              <w:tc>
                <w:tcPr>
                  <w:tcW w:w="3116" w:type="dxa"/>
                  <w:vAlign w:val="center"/>
                </w:tcPr>
                <w:p>
                  <w:pPr>
                    <w:autoSpaceDE w:val="0"/>
                    <w:autoSpaceDN w:val="0"/>
                    <w:adjustRightInd w:val="0"/>
                    <w:snapToGrid w:val="0"/>
                    <w:jc w:val="center"/>
                    <w:rPr>
                      <w:color w:val="auto"/>
                      <w:szCs w:val="21"/>
                    </w:rPr>
                  </w:pPr>
                  <w:r>
                    <w:rPr>
                      <w:rFonts w:hint="eastAsia"/>
                      <w:color w:val="auto"/>
                      <w:szCs w:val="21"/>
                    </w:rPr>
                    <w:t>无相关管控要求</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w:t>
                  </w:r>
                </w:p>
              </w:tc>
              <w:tc>
                <w:tcPr>
                  <w:tcW w:w="694" w:type="dxa"/>
                  <w:vAlign w:val="center"/>
                </w:tcPr>
                <w:p>
                  <w:pPr>
                    <w:autoSpaceDE w:val="0"/>
                    <w:autoSpaceDN w:val="0"/>
                    <w:adjustRightInd w:val="0"/>
                    <w:snapToGrid w:val="0"/>
                    <w:jc w:val="center"/>
                    <w:rPr>
                      <w:color w:val="auto"/>
                      <w:szCs w:val="21"/>
                    </w:rPr>
                  </w:pPr>
                  <w:r>
                    <w:rPr>
                      <w:rFonts w:hint="eastAsia"/>
                      <w:color w:val="auto"/>
                      <w:szCs w:val="21"/>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1172" w:hRule="exact"/>
                <w:jc w:val="center"/>
              </w:trPr>
              <w:tc>
                <w:tcPr>
                  <w:tcW w:w="788" w:type="dxa"/>
                  <w:vAlign w:val="center"/>
                </w:tcPr>
                <w:p>
                  <w:pPr>
                    <w:autoSpaceDE w:val="0"/>
                    <w:autoSpaceDN w:val="0"/>
                    <w:adjustRightInd w:val="0"/>
                    <w:snapToGrid w:val="0"/>
                    <w:jc w:val="center"/>
                    <w:rPr>
                      <w:color w:val="auto"/>
                      <w:szCs w:val="21"/>
                    </w:rPr>
                  </w:pPr>
                  <w:r>
                    <w:rPr>
                      <w:rFonts w:hint="eastAsia"/>
                      <w:color w:val="auto"/>
                      <w:szCs w:val="21"/>
                    </w:rPr>
                    <w:t>资源利用效率</w:t>
                  </w:r>
                </w:p>
              </w:tc>
              <w:tc>
                <w:tcPr>
                  <w:tcW w:w="3116" w:type="dxa"/>
                  <w:vAlign w:val="center"/>
                </w:tcPr>
                <w:p>
                  <w:pPr>
                    <w:autoSpaceDE w:val="0"/>
                    <w:autoSpaceDN w:val="0"/>
                    <w:adjustRightInd w:val="0"/>
                    <w:snapToGrid w:val="0"/>
                    <w:jc w:val="center"/>
                    <w:rPr>
                      <w:color w:val="auto"/>
                      <w:szCs w:val="21"/>
                    </w:rPr>
                  </w:pPr>
                  <w:r>
                    <w:rPr>
                      <w:rFonts w:hint="eastAsia"/>
                      <w:color w:val="auto"/>
                      <w:szCs w:val="21"/>
                    </w:rPr>
                    <w:t>无相关管控要求</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w:t>
                  </w:r>
                </w:p>
              </w:tc>
              <w:tc>
                <w:tcPr>
                  <w:tcW w:w="694" w:type="dxa"/>
                  <w:vAlign w:val="center"/>
                </w:tcPr>
                <w:p>
                  <w:pPr>
                    <w:autoSpaceDE w:val="0"/>
                    <w:autoSpaceDN w:val="0"/>
                    <w:adjustRightInd w:val="0"/>
                    <w:snapToGrid w:val="0"/>
                    <w:jc w:val="center"/>
                    <w:rPr>
                      <w:color w:val="auto"/>
                      <w:szCs w:val="21"/>
                    </w:rPr>
                  </w:pPr>
                  <w:r>
                    <w:rPr>
                      <w:rFonts w:hint="eastAsia"/>
                      <w:color w:val="auto"/>
                      <w:szCs w:val="21"/>
                    </w:rPr>
                    <w:t>/</w:t>
                  </w:r>
                </w:p>
              </w:tc>
            </w:tr>
          </w:tbl>
          <w:p>
            <w:pPr>
              <w:numPr>
                <w:ilvl w:val="0"/>
                <w:numId w:val="1"/>
              </w:numPr>
              <w:autoSpaceDE w:val="0"/>
              <w:autoSpaceDN w:val="0"/>
              <w:adjustRightInd w:val="0"/>
              <w:snapToGrid w:val="0"/>
              <w:spacing w:line="520" w:lineRule="exact"/>
              <w:ind w:firstLine="560" w:firstLineChars="200"/>
              <w:rPr>
                <w:rFonts w:hint="default" w:ascii="Times New Roman" w:hAnsi="Times New Roman" w:eastAsia="宋体" w:cs="Times New Roman"/>
                <w:color w:val="0000FF"/>
                <w:kern w:val="0"/>
                <w:sz w:val="28"/>
                <w:szCs w:val="28"/>
                <w:lang w:val="en-US" w:eastAsia="zh-CN" w:bidi="ar"/>
              </w:rPr>
            </w:pPr>
            <w:r>
              <w:rPr>
                <w:rFonts w:hint="default" w:ascii="Times New Roman" w:hAnsi="Times New Roman" w:eastAsia="宋体" w:cs="Times New Roman"/>
                <w:color w:val="0000FF"/>
                <w:kern w:val="0"/>
                <w:sz w:val="28"/>
                <w:szCs w:val="28"/>
                <w:lang w:val="en-US" w:eastAsia="zh-CN" w:bidi="ar"/>
              </w:rPr>
              <w:t>与</w:t>
            </w:r>
            <w:r>
              <w:rPr>
                <w:rFonts w:hint="eastAsia"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自治区七大片区</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三线一单</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生态环境分区管控要求</w:t>
            </w:r>
            <w:r>
              <w:rPr>
                <w:rFonts w:hint="eastAsia"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的符合性分析</w:t>
            </w:r>
          </w:p>
          <w:p>
            <w:pPr>
              <w:autoSpaceDE w:val="0"/>
              <w:autoSpaceDN w:val="0"/>
              <w:adjustRightInd w:val="0"/>
              <w:snapToGrid w:val="0"/>
              <w:spacing w:line="520" w:lineRule="exact"/>
              <w:ind w:firstLine="560" w:firstLineChars="200"/>
              <w:rPr>
                <w:rFonts w:hint="eastAsia" w:cs="Times New Roman"/>
                <w:color w:val="0000FF"/>
                <w:kern w:val="0"/>
                <w:sz w:val="28"/>
                <w:szCs w:val="28"/>
                <w:lang w:val="en-US" w:eastAsia="zh-CN" w:bidi="ar"/>
              </w:rPr>
            </w:pPr>
            <w:r>
              <w:rPr>
                <w:rFonts w:hint="eastAsia"/>
                <w:color w:val="0000E1"/>
                <w:sz w:val="28"/>
                <w:szCs w:val="28"/>
                <w:lang w:eastAsia="zh-CN"/>
              </w:rPr>
              <w:t>根据</w:t>
            </w:r>
            <w:r>
              <w:rPr>
                <w:rFonts w:hint="eastAsia"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自治区七大片区</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三线一单</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生态环境分区管控要求</w:t>
            </w:r>
            <w:r>
              <w:rPr>
                <w:rFonts w:hint="eastAsia" w:cs="Times New Roman"/>
                <w:color w:val="0000FF"/>
                <w:kern w:val="0"/>
                <w:sz w:val="28"/>
                <w:szCs w:val="28"/>
                <w:lang w:val="en-US" w:eastAsia="zh-CN" w:bidi="ar"/>
              </w:rPr>
              <w:t>》（2021年版），项目位于伊犁河谷片区，伊犁河谷片区包括伊犁哈萨克自治州州直全境（不含奎屯市）。严格控制重化工产业无序发展，昭苏县、特克斯县严禁布局重化工项目，新源县、尼勒克县、巩留县原则上不再新增重化工项目。</w:t>
            </w:r>
          </w:p>
          <w:p>
            <w:pPr>
              <w:autoSpaceDE w:val="0"/>
              <w:autoSpaceDN w:val="0"/>
              <w:adjustRightInd w:val="0"/>
              <w:snapToGrid w:val="0"/>
              <w:spacing w:line="520" w:lineRule="exact"/>
              <w:ind w:firstLine="560" w:firstLineChars="200"/>
              <w:rPr>
                <w:rFonts w:hint="eastAsia" w:eastAsia="宋体"/>
                <w:color w:val="0000E1"/>
                <w:sz w:val="28"/>
                <w:szCs w:val="28"/>
                <w:lang w:eastAsia="zh-CN"/>
              </w:rPr>
            </w:pPr>
            <w:r>
              <w:rPr>
                <w:rFonts w:hint="eastAsia"/>
                <w:color w:val="0000E1"/>
                <w:sz w:val="28"/>
                <w:szCs w:val="28"/>
                <w:lang w:eastAsia="zh-CN"/>
              </w:rPr>
              <w:t>本项目为</w:t>
            </w:r>
            <w:r>
              <w:rPr>
                <w:rFonts w:hint="eastAsia"/>
                <w:color w:val="0000E1"/>
                <w:sz w:val="28"/>
                <w:szCs w:val="28"/>
              </w:rPr>
              <w:t>泡沫塑料制造业</w:t>
            </w:r>
            <w:r>
              <w:rPr>
                <w:rFonts w:hint="eastAsia"/>
                <w:color w:val="0000E1"/>
                <w:sz w:val="28"/>
                <w:szCs w:val="28"/>
                <w:lang w:eastAsia="zh-CN"/>
              </w:rPr>
              <w:t>，主要产品为苯板，不属于重化工类项目，符合</w:t>
            </w:r>
            <w:r>
              <w:rPr>
                <w:rFonts w:hint="eastAsia"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自治区七大片区</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三线一单</w:t>
            </w:r>
            <w:r>
              <w:rPr>
                <w:rFonts w:hint="eastAsia" w:ascii="Times New Roman" w:hAnsi="Times New Roman" w:eastAsia="宋体" w:cs="Times New Roman"/>
                <w:color w:val="0000FF"/>
                <w:kern w:val="0"/>
                <w:sz w:val="28"/>
                <w:szCs w:val="28"/>
                <w:lang w:val="en-US" w:eastAsia="zh-CN" w:bidi="ar"/>
              </w:rPr>
              <w:t>”</w:t>
            </w:r>
            <w:r>
              <w:rPr>
                <w:rFonts w:hint="default" w:ascii="Times New Roman" w:hAnsi="Times New Roman" w:eastAsia="宋体" w:cs="Times New Roman"/>
                <w:color w:val="0000FF"/>
                <w:kern w:val="0"/>
                <w:sz w:val="28"/>
                <w:szCs w:val="28"/>
                <w:lang w:val="en-US" w:eastAsia="zh-CN" w:bidi="ar"/>
              </w:rPr>
              <w:t>生态环境分区管控要求</w:t>
            </w:r>
            <w:r>
              <w:rPr>
                <w:rFonts w:hint="eastAsia" w:cs="Times New Roman"/>
                <w:color w:val="0000FF"/>
                <w:kern w:val="0"/>
                <w:sz w:val="28"/>
                <w:szCs w:val="28"/>
                <w:lang w:val="en-US" w:eastAsia="zh-CN" w:bidi="ar"/>
              </w:rPr>
              <w:t>》的相关要求。</w:t>
            </w:r>
          </w:p>
          <w:p>
            <w:pPr>
              <w:autoSpaceDE w:val="0"/>
              <w:autoSpaceDN w:val="0"/>
              <w:adjustRightInd w:val="0"/>
              <w:snapToGrid w:val="0"/>
              <w:spacing w:line="520" w:lineRule="exact"/>
              <w:ind w:firstLine="560" w:firstLineChars="200"/>
              <w:rPr>
                <w:color w:val="auto"/>
                <w:sz w:val="28"/>
                <w:szCs w:val="28"/>
              </w:rPr>
            </w:pPr>
            <w:r>
              <w:rPr>
                <w:color w:val="auto"/>
                <w:sz w:val="28"/>
                <w:szCs w:val="28"/>
              </w:rPr>
              <w:t>综上所述，本项目符合</w:t>
            </w:r>
            <w:r>
              <w:rPr>
                <w:rFonts w:hint="eastAsia"/>
                <w:color w:val="auto"/>
                <w:sz w:val="28"/>
                <w:szCs w:val="28"/>
                <w:lang w:eastAsia="zh-CN"/>
              </w:rPr>
              <w:t>“</w:t>
            </w:r>
            <w:r>
              <w:rPr>
                <w:color w:val="auto"/>
                <w:sz w:val="28"/>
                <w:szCs w:val="28"/>
              </w:rPr>
              <w:t>三线一单</w:t>
            </w:r>
            <w:r>
              <w:rPr>
                <w:rFonts w:hint="eastAsia"/>
                <w:color w:val="auto"/>
                <w:sz w:val="28"/>
                <w:szCs w:val="28"/>
                <w:lang w:eastAsia="zh-CN"/>
              </w:rPr>
              <w:t>”</w:t>
            </w:r>
            <w:r>
              <w:rPr>
                <w:color w:val="auto"/>
                <w:sz w:val="28"/>
                <w:szCs w:val="28"/>
              </w:rPr>
              <w:t>要求。</w:t>
            </w:r>
          </w:p>
          <w:p>
            <w:pPr>
              <w:widowControl/>
              <w:spacing w:line="520" w:lineRule="exact"/>
              <w:rPr>
                <w:b/>
                <w:color w:val="auto"/>
                <w:sz w:val="28"/>
                <w:szCs w:val="28"/>
              </w:rPr>
            </w:pPr>
            <w:r>
              <w:rPr>
                <w:rFonts w:hint="eastAsia"/>
                <w:b/>
                <w:color w:val="auto"/>
                <w:sz w:val="28"/>
                <w:szCs w:val="28"/>
              </w:rPr>
              <w:t>2产业</w:t>
            </w:r>
            <w:r>
              <w:rPr>
                <w:b/>
                <w:color w:val="auto"/>
                <w:sz w:val="28"/>
                <w:szCs w:val="28"/>
              </w:rPr>
              <w:t>政策符合性分析</w:t>
            </w:r>
          </w:p>
          <w:p>
            <w:pPr>
              <w:widowControl/>
              <w:spacing w:line="520" w:lineRule="exact"/>
              <w:ind w:firstLine="560" w:firstLineChars="200"/>
              <w:jc w:val="left"/>
              <w:rPr>
                <w:color w:val="auto"/>
                <w:sz w:val="28"/>
                <w:szCs w:val="28"/>
              </w:rPr>
            </w:pPr>
            <w:r>
              <w:rPr>
                <w:rFonts w:hint="eastAsia"/>
                <w:color w:val="auto"/>
                <w:sz w:val="28"/>
                <w:szCs w:val="28"/>
              </w:rPr>
              <w:t>根据</w:t>
            </w:r>
            <w:r>
              <w:rPr>
                <w:color w:val="auto"/>
                <w:sz w:val="28"/>
                <w:szCs w:val="28"/>
              </w:rPr>
              <w:t>《产业结构调整指导目录（2019年本）》</w:t>
            </w:r>
            <w:r>
              <w:rPr>
                <w:rFonts w:hint="eastAsia"/>
                <w:color w:val="auto"/>
                <w:sz w:val="28"/>
                <w:szCs w:val="28"/>
              </w:rPr>
              <w:t>、《西部地区鼓励类产业目录（2020年本）》，本项目生产设备、生产工艺均不属于限制类和淘汰类，故本项目为允许类，符合国家产业政策要求。</w:t>
            </w:r>
          </w:p>
          <w:p>
            <w:pPr>
              <w:widowControl/>
              <w:spacing w:line="520" w:lineRule="exact"/>
              <w:rPr>
                <w:b/>
                <w:color w:val="auto"/>
                <w:sz w:val="28"/>
                <w:szCs w:val="28"/>
              </w:rPr>
            </w:pPr>
            <w:r>
              <w:rPr>
                <w:rFonts w:hint="eastAsia"/>
                <w:b/>
                <w:color w:val="auto"/>
                <w:sz w:val="28"/>
                <w:szCs w:val="28"/>
              </w:rPr>
              <w:t>3</w:t>
            </w:r>
            <w:r>
              <w:rPr>
                <w:b/>
                <w:color w:val="auto"/>
                <w:sz w:val="28"/>
                <w:szCs w:val="28"/>
              </w:rPr>
              <w:t>生态环境保护法律法规政策符合性分析</w:t>
            </w:r>
          </w:p>
          <w:p>
            <w:pPr>
              <w:autoSpaceDE w:val="0"/>
              <w:autoSpaceDN w:val="0"/>
              <w:adjustRightInd w:val="0"/>
              <w:snapToGrid w:val="0"/>
              <w:spacing w:line="520" w:lineRule="exact"/>
              <w:ind w:firstLine="560" w:firstLineChars="200"/>
              <w:rPr>
                <w:color w:val="auto"/>
                <w:sz w:val="28"/>
                <w:szCs w:val="28"/>
              </w:rPr>
            </w:pPr>
            <w:r>
              <w:rPr>
                <w:color w:val="auto"/>
                <w:sz w:val="28"/>
                <w:szCs w:val="28"/>
              </w:rPr>
              <w:t>本项目与相关生态环境保护法律法规符合性分析详见下表。</w:t>
            </w:r>
          </w:p>
          <w:p>
            <w:pPr>
              <w:autoSpaceDE w:val="0"/>
              <w:autoSpaceDN w:val="0"/>
              <w:adjustRightInd w:val="0"/>
              <w:snapToGrid w:val="0"/>
              <w:ind w:firstLine="480" w:firstLineChars="200"/>
              <w:rPr>
                <w:color w:val="auto"/>
                <w:sz w:val="28"/>
                <w:szCs w:val="28"/>
              </w:rPr>
            </w:pPr>
            <w:r>
              <w:rPr>
                <w:rFonts w:eastAsia="黑体"/>
                <w:color w:val="auto"/>
                <w:sz w:val="24"/>
              </w:rPr>
              <w:t>表</w:t>
            </w:r>
            <w:r>
              <w:rPr>
                <w:rFonts w:hint="eastAsia" w:eastAsia="黑体"/>
                <w:color w:val="auto"/>
                <w:sz w:val="24"/>
              </w:rPr>
              <w:t>2</w:t>
            </w:r>
            <w:r>
              <w:rPr>
                <w:rFonts w:eastAsia="黑体"/>
                <w:color w:val="auto"/>
                <w:sz w:val="24"/>
              </w:rPr>
              <w:t xml:space="preserve">      生态环境保护法律法规符合性分析</w:t>
            </w:r>
          </w:p>
          <w:tbl>
            <w:tblPr>
              <w:tblStyle w:val="18"/>
              <w:tblW w:w="4995"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536"/>
              <w:gridCol w:w="840"/>
              <w:gridCol w:w="2528"/>
              <w:gridCol w:w="2539"/>
              <w:gridCol w:w="694"/>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3" w:hRule="exact"/>
                <w:jc w:val="center"/>
              </w:trPr>
              <w:tc>
                <w:tcPr>
                  <w:tcW w:w="536" w:type="dxa"/>
                  <w:vMerge w:val="restart"/>
                  <w:vAlign w:val="center"/>
                </w:tcPr>
                <w:p>
                  <w:pPr>
                    <w:autoSpaceDE w:val="0"/>
                    <w:autoSpaceDN w:val="0"/>
                    <w:adjustRightInd w:val="0"/>
                    <w:snapToGrid w:val="0"/>
                    <w:jc w:val="center"/>
                    <w:rPr>
                      <w:color w:val="auto"/>
                      <w:szCs w:val="21"/>
                    </w:rPr>
                  </w:pPr>
                  <w:r>
                    <w:rPr>
                      <w:color w:val="auto"/>
                      <w:szCs w:val="21"/>
                    </w:rPr>
                    <w:t>序号</w:t>
                  </w:r>
                </w:p>
              </w:tc>
              <w:tc>
                <w:tcPr>
                  <w:tcW w:w="3368" w:type="dxa"/>
                  <w:gridSpan w:val="2"/>
                  <w:vAlign w:val="center"/>
                </w:tcPr>
                <w:p>
                  <w:pPr>
                    <w:autoSpaceDE w:val="0"/>
                    <w:autoSpaceDN w:val="0"/>
                    <w:adjustRightInd w:val="0"/>
                    <w:snapToGrid w:val="0"/>
                    <w:jc w:val="center"/>
                    <w:rPr>
                      <w:color w:val="auto"/>
                      <w:szCs w:val="21"/>
                    </w:rPr>
                  </w:pPr>
                  <w:r>
                    <w:rPr>
                      <w:color w:val="auto"/>
                      <w:szCs w:val="21"/>
                    </w:rPr>
                    <w:t>生态环境法律法规</w:t>
                  </w:r>
                </w:p>
              </w:tc>
              <w:tc>
                <w:tcPr>
                  <w:tcW w:w="2539" w:type="dxa"/>
                  <w:vMerge w:val="restart"/>
                  <w:vAlign w:val="center"/>
                </w:tcPr>
                <w:p>
                  <w:pPr>
                    <w:autoSpaceDE w:val="0"/>
                    <w:autoSpaceDN w:val="0"/>
                    <w:adjustRightInd w:val="0"/>
                    <w:snapToGrid w:val="0"/>
                    <w:jc w:val="center"/>
                    <w:rPr>
                      <w:color w:val="auto"/>
                      <w:szCs w:val="21"/>
                    </w:rPr>
                  </w:pPr>
                  <w:r>
                    <w:rPr>
                      <w:color w:val="auto"/>
                      <w:szCs w:val="21"/>
                    </w:rPr>
                    <w:t>本项目</w:t>
                  </w:r>
                </w:p>
              </w:tc>
              <w:tc>
                <w:tcPr>
                  <w:tcW w:w="694" w:type="dxa"/>
                  <w:vMerge w:val="restart"/>
                  <w:vAlign w:val="center"/>
                </w:tcPr>
                <w:p>
                  <w:pPr>
                    <w:autoSpaceDE w:val="0"/>
                    <w:autoSpaceDN w:val="0"/>
                    <w:adjustRightInd w:val="0"/>
                    <w:snapToGrid w:val="0"/>
                    <w:jc w:val="center"/>
                    <w:rPr>
                      <w:color w:val="auto"/>
                      <w:szCs w:val="21"/>
                    </w:rPr>
                  </w:pPr>
                  <w:r>
                    <w:rPr>
                      <w:color w:val="auto"/>
                      <w:szCs w:val="21"/>
                    </w:rPr>
                    <w:t>符合性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33" w:hRule="exact"/>
                <w:jc w:val="center"/>
              </w:trPr>
              <w:tc>
                <w:tcPr>
                  <w:tcW w:w="536" w:type="dxa"/>
                  <w:vMerge w:val="continue"/>
                  <w:vAlign w:val="center"/>
                </w:tcPr>
                <w:p>
                  <w:pPr>
                    <w:autoSpaceDE w:val="0"/>
                    <w:autoSpaceDN w:val="0"/>
                    <w:adjustRightInd w:val="0"/>
                    <w:snapToGrid w:val="0"/>
                    <w:jc w:val="center"/>
                    <w:rPr>
                      <w:color w:val="auto"/>
                      <w:szCs w:val="21"/>
                    </w:rPr>
                  </w:pPr>
                </w:p>
              </w:tc>
              <w:tc>
                <w:tcPr>
                  <w:tcW w:w="840" w:type="dxa"/>
                  <w:vAlign w:val="center"/>
                </w:tcPr>
                <w:p>
                  <w:pPr>
                    <w:autoSpaceDE w:val="0"/>
                    <w:autoSpaceDN w:val="0"/>
                    <w:adjustRightInd w:val="0"/>
                    <w:snapToGrid w:val="0"/>
                    <w:jc w:val="center"/>
                    <w:rPr>
                      <w:color w:val="auto"/>
                      <w:szCs w:val="21"/>
                    </w:rPr>
                  </w:pPr>
                  <w:r>
                    <w:rPr>
                      <w:color w:val="auto"/>
                      <w:szCs w:val="21"/>
                    </w:rPr>
                    <w:t>名称</w:t>
                  </w:r>
                </w:p>
              </w:tc>
              <w:tc>
                <w:tcPr>
                  <w:tcW w:w="2528" w:type="dxa"/>
                  <w:vAlign w:val="center"/>
                </w:tcPr>
                <w:p>
                  <w:pPr>
                    <w:autoSpaceDE w:val="0"/>
                    <w:autoSpaceDN w:val="0"/>
                    <w:adjustRightInd w:val="0"/>
                    <w:snapToGrid w:val="0"/>
                    <w:jc w:val="center"/>
                    <w:rPr>
                      <w:color w:val="auto"/>
                      <w:szCs w:val="21"/>
                    </w:rPr>
                  </w:pPr>
                  <w:r>
                    <w:rPr>
                      <w:color w:val="auto"/>
                      <w:szCs w:val="21"/>
                    </w:rPr>
                    <w:t>相关内容</w:t>
                  </w:r>
                </w:p>
              </w:tc>
              <w:tc>
                <w:tcPr>
                  <w:tcW w:w="2539" w:type="dxa"/>
                  <w:vMerge w:val="continue"/>
                  <w:vAlign w:val="center"/>
                </w:tcPr>
                <w:p>
                  <w:pPr>
                    <w:autoSpaceDE w:val="0"/>
                    <w:autoSpaceDN w:val="0"/>
                    <w:adjustRightInd w:val="0"/>
                    <w:snapToGrid w:val="0"/>
                    <w:jc w:val="center"/>
                    <w:rPr>
                      <w:color w:val="auto"/>
                      <w:szCs w:val="21"/>
                    </w:rPr>
                  </w:pPr>
                </w:p>
              </w:tc>
              <w:tc>
                <w:tcPr>
                  <w:tcW w:w="694" w:type="dxa"/>
                  <w:vMerge w:val="continue"/>
                  <w:vAlign w:val="center"/>
                </w:tcPr>
                <w:p>
                  <w:pPr>
                    <w:autoSpaceDE w:val="0"/>
                    <w:autoSpaceDN w:val="0"/>
                    <w:adjustRightInd w:val="0"/>
                    <w:snapToGrid w:val="0"/>
                    <w:jc w:val="center"/>
                    <w:rPr>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082" w:hRule="exact"/>
                <w:jc w:val="center"/>
              </w:trPr>
              <w:tc>
                <w:tcPr>
                  <w:tcW w:w="536" w:type="dxa"/>
                  <w:vAlign w:val="center"/>
                </w:tcPr>
                <w:p>
                  <w:pPr>
                    <w:autoSpaceDE w:val="0"/>
                    <w:autoSpaceDN w:val="0"/>
                    <w:adjustRightInd w:val="0"/>
                    <w:snapToGrid w:val="0"/>
                    <w:jc w:val="center"/>
                    <w:rPr>
                      <w:color w:val="auto"/>
                      <w:szCs w:val="21"/>
                    </w:rPr>
                  </w:pPr>
                  <w:r>
                    <w:rPr>
                      <w:color w:val="auto"/>
                      <w:szCs w:val="21"/>
                    </w:rPr>
                    <w:t>1</w:t>
                  </w:r>
                </w:p>
              </w:tc>
              <w:tc>
                <w:tcPr>
                  <w:tcW w:w="840" w:type="dxa"/>
                  <w:vAlign w:val="center"/>
                </w:tcPr>
                <w:p>
                  <w:pPr>
                    <w:autoSpaceDE w:val="0"/>
                    <w:autoSpaceDN w:val="0"/>
                    <w:adjustRightInd w:val="0"/>
                    <w:snapToGrid w:val="0"/>
                    <w:jc w:val="center"/>
                    <w:rPr>
                      <w:color w:val="auto"/>
                      <w:szCs w:val="21"/>
                    </w:rPr>
                  </w:pPr>
                  <w:r>
                    <w:rPr>
                      <w:color w:val="auto"/>
                      <w:szCs w:val="21"/>
                    </w:rPr>
                    <w:t>《中华人民共和国大气污染防治法》</w:t>
                  </w:r>
                </w:p>
              </w:tc>
              <w:tc>
                <w:tcPr>
                  <w:tcW w:w="2528" w:type="dxa"/>
                  <w:vAlign w:val="center"/>
                </w:tcPr>
                <w:p>
                  <w:pPr>
                    <w:autoSpaceDE w:val="0"/>
                    <w:autoSpaceDN w:val="0"/>
                    <w:adjustRightInd w:val="0"/>
                    <w:snapToGrid w:val="0"/>
                    <w:jc w:val="center"/>
                    <w:rPr>
                      <w:color w:val="auto"/>
                      <w:szCs w:val="21"/>
                    </w:rPr>
                  </w:pPr>
                  <w:r>
                    <w:rPr>
                      <w:color w:val="auto"/>
                      <w:szCs w:val="21"/>
                    </w:rPr>
                    <w:t>第四十四条 生产、进口、销售和使用含挥发性有机物的原材料和产品的，其挥发性有机物含量应当符合质量标准或者要求。</w:t>
                  </w:r>
                </w:p>
                <w:p>
                  <w:pPr>
                    <w:autoSpaceDE w:val="0"/>
                    <w:autoSpaceDN w:val="0"/>
                    <w:adjustRightInd w:val="0"/>
                    <w:snapToGrid w:val="0"/>
                    <w:jc w:val="center"/>
                    <w:rPr>
                      <w:color w:val="auto"/>
                      <w:szCs w:val="21"/>
                    </w:rPr>
                  </w:pPr>
                  <w:r>
                    <w:rPr>
                      <w:color w:val="auto"/>
                      <w:szCs w:val="21"/>
                    </w:rPr>
                    <w:t>国家鼓励生产、进口、销售和使用低毒、低挥发性有机溶剂。</w:t>
                  </w:r>
                </w:p>
                <w:p>
                  <w:pPr>
                    <w:autoSpaceDE w:val="0"/>
                    <w:autoSpaceDN w:val="0"/>
                    <w:adjustRightInd w:val="0"/>
                    <w:snapToGrid w:val="0"/>
                    <w:jc w:val="center"/>
                    <w:rPr>
                      <w:color w:val="auto"/>
                      <w:szCs w:val="21"/>
                    </w:rPr>
                  </w:pPr>
                  <w:r>
                    <w:rPr>
                      <w:color w:val="auto"/>
                      <w:szCs w:val="21"/>
                    </w:rPr>
                    <w:t>第四十五条 产生含挥发性有机物废气的生产和服务活动，应当在密闭空间或者设备中进行，并按照规定安装、使用污染防治设施;无法密闭的，应当采取措施减少废气排放。</w:t>
                  </w:r>
                </w:p>
              </w:tc>
              <w:tc>
                <w:tcPr>
                  <w:tcW w:w="2539" w:type="dxa"/>
                  <w:vAlign w:val="center"/>
                </w:tcPr>
                <w:p>
                  <w:pPr>
                    <w:autoSpaceDE w:val="0"/>
                    <w:autoSpaceDN w:val="0"/>
                    <w:adjustRightInd w:val="0"/>
                    <w:snapToGrid w:val="0"/>
                    <w:jc w:val="center"/>
                    <w:rPr>
                      <w:color w:val="auto"/>
                      <w:szCs w:val="21"/>
                    </w:rPr>
                  </w:pPr>
                  <w:r>
                    <w:rPr>
                      <w:color w:val="auto"/>
                      <w:szCs w:val="21"/>
                    </w:rPr>
                    <w:t>本项目</w:t>
                  </w:r>
                  <w:r>
                    <w:rPr>
                      <w:rFonts w:hint="eastAsia"/>
                      <w:color w:val="auto"/>
                      <w:szCs w:val="21"/>
                      <w:lang w:eastAsia="zh-CN"/>
                    </w:rPr>
                    <w:t>生产车间配备光氧催化+活性炭吸附装置，处理后满足《合成树脂工业污染物排放标准》（GB31572—2015）标准</w:t>
                  </w:r>
                </w:p>
              </w:tc>
              <w:tc>
                <w:tcPr>
                  <w:tcW w:w="694" w:type="dxa"/>
                  <w:vAlign w:val="center"/>
                </w:tcPr>
                <w:p>
                  <w:pPr>
                    <w:autoSpaceDE w:val="0"/>
                    <w:autoSpaceDN w:val="0"/>
                    <w:adjustRightInd w:val="0"/>
                    <w:snapToGrid w:val="0"/>
                    <w:jc w:val="center"/>
                    <w:rPr>
                      <w:color w:val="auto"/>
                      <w:szCs w:val="21"/>
                    </w:rPr>
                  </w:pPr>
                  <w:r>
                    <w:rPr>
                      <w:color w:val="auto"/>
                      <w:szCs w:val="21"/>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404" w:hRule="exact"/>
                <w:jc w:val="center"/>
              </w:trPr>
              <w:tc>
                <w:tcPr>
                  <w:tcW w:w="536" w:type="dxa"/>
                  <w:vAlign w:val="center"/>
                </w:tcPr>
                <w:p>
                  <w:pPr>
                    <w:autoSpaceDE w:val="0"/>
                    <w:autoSpaceDN w:val="0"/>
                    <w:adjustRightInd w:val="0"/>
                    <w:snapToGrid w:val="0"/>
                    <w:jc w:val="center"/>
                    <w:rPr>
                      <w:color w:val="auto"/>
                      <w:szCs w:val="21"/>
                    </w:rPr>
                  </w:pPr>
                  <w:r>
                    <w:rPr>
                      <w:color w:val="auto"/>
                      <w:szCs w:val="21"/>
                    </w:rPr>
                    <w:t>2</w:t>
                  </w:r>
                </w:p>
              </w:tc>
              <w:tc>
                <w:tcPr>
                  <w:tcW w:w="840" w:type="dxa"/>
                  <w:vAlign w:val="center"/>
                </w:tcPr>
                <w:p>
                  <w:pPr>
                    <w:autoSpaceDE w:val="0"/>
                    <w:autoSpaceDN w:val="0"/>
                    <w:adjustRightInd w:val="0"/>
                    <w:snapToGrid w:val="0"/>
                    <w:jc w:val="center"/>
                    <w:rPr>
                      <w:color w:val="auto"/>
                      <w:szCs w:val="21"/>
                    </w:rPr>
                  </w:pPr>
                  <w:r>
                    <w:rPr>
                      <w:color w:val="auto"/>
                      <w:szCs w:val="21"/>
                    </w:rPr>
                    <w:t>《中华人民共和国水污染防治法》</w:t>
                  </w:r>
                </w:p>
              </w:tc>
              <w:tc>
                <w:tcPr>
                  <w:tcW w:w="2528" w:type="dxa"/>
                  <w:vAlign w:val="center"/>
                </w:tcPr>
                <w:p>
                  <w:pPr>
                    <w:pStyle w:val="15"/>
                    <w:wordWrap w:val="0"/>
                    <w:spacing w:before="0" w:beforeAutospacing="0" w:after="0" w:afterAutospacing="0"/>
                    <w:jc w:val="center"/>
                    <w:rPr>
                      <w:rFonts w:hint="eastAsia" w:ascii="Times New Roman" w:hAnsi="Times New Roman" w:eastAsia="宋体"/>
                      <w:color w:val="auto"/>
                      <w:szCs w:val="21"/>
                      <w:lang w:eastAsia="zh-CN"/>
                    </w:rPr>
                  </w:pPr>
                  <w:r>
                    <w:rPr>
                      <w:rFonts w:hint="eastAsia" w:ascii="Times New Roman" w:hAnsi="Times New Roman"/>
                      <w:color w:val="auto"/>
                      <w:kern w:val="2"/>
                      <w:sz w:val="21"/>
                      <w:szCs w:val="21"/>
                    </w:rPr>
                    <w:t>第十条</w:t>
                  </w:r>
                  <w:r>
                    <w:rPr>
                      <w:rFonts w:hint="eastAsia" w:ascii="Times New Roman" w:hAnsi="Times New Roman"/>
                      <w:color w:val="auto"/>
                      <w:kern w:val="2"/>
                      <w:sz w:val="21"/>
                      <w:szCs w:val="21"/>
                      <w:lang w:eastAsia="zh-CN"/>
                    </w:rPr>
                    <w:t>“</w:t>
                  </w:r>
                  <w:r>
                    <w:rPr>
                      <w:rFonts w:hint="eastAsia" w:ascii="Times New Roman" w:hAnsi="Times New Roman"/>
                      <w:color w:val="auto"/>
                      <w:kern w:val="2"/>
                      <w:sz w:val="21"/>
                      <w:szCs w:val="21"/>
                    </w:rPr>
                    <w:t>排放水污染物，不得超过国家或者地方规定的水污染物排放标准和重点水污染物排放总量控制指标。</w:t>
                  </w:r>
                  <w:r>
                    <w:rPr>
                      <w:rFonts w:hint="eastAsia" w:ascii="Times New Roman" w:hAnsi="Times New Roman"/>
                      <w:color w:val="auto"/>
                      <w:kern w:val="2"/>
                      <w:sz w:val="21"/>
                      <w:szCs w:val="21"/>
                      <w:lang w:eastAsia="zh-CN"/>
                    </w:rPr>
                    <w:t>”</w:t>
                  </w:r>
                </w:p>
              </w:tc>
              <w:tc>
                <w:tcPr>
                  <w:tcW w:w="2539" w:type="dxa"/>
                  <w:vAlign w:val="center"/>
                </w:tcPr>
                <w:p>
                  <w:pPr>
                    <w:autoSpaceDE w:val="0"/>
                    <w:autoSpaceDN w:val="0"/>
                    <w:adjustRightInd w:val="0"/>
                    <w:snapToGrid w:val="0"/>
                    <w:jc w:val="center"/>
                    <w:rPr>
                      <w:color w:val="auto"/>
                      <w:szCs w:val="21"/>
                    </w:rPr>
                  </w:pPr>
                  <w:r>
                    <w:rPr>
                      <w:rFonts w:hint="eastAsia"/>
                      <w:color w:val="auto"/>
                      <w:szCs w:val="21"/>
                    </w:rPr>
                    <w:t>本项目主要废水为员工生活污水，生活污水排入市政下水管网。</w:t>
                  </w:r>
                </w:p>
              </w:tc>
              <w:tc>
                <w:tcPr>
                  <w:tcW w:w="694" w:type="dxa"/>
                  <w:vAlign w:val="center"/>
                </w:tcPr>
                <w:p>
                  <w:pPr>
                    <w:autoSpaceDE w:val="0"/>
                    <w:autoSpaceDN w:val="0"/>
                    <w:adjustRightInd w:val="0"/>
                    <w:snapToGrid w:val="0"/>
                    <w:jc w:val="center"/>
                    <w:rPr>
                      <w:color w:val="auto"/>
                      <w:szCs w:val="21"/>
                    </w:rPr>
                  </w:pPr>
                  <w:r>
                    <w:rPr>
                      <w:color w:val="auto"/>
                      <w:szCs w:val="21"/>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249" w:hRule="exact"/>
                <w:jc w:val="center"/>
              </w:trPr>
              <w:tc>
                <w:tcPr>
                  <w:tcW w:w="536" w:type="dxa"/>
                  <w:vAlign w:val="center"/>
                </w:tcPr>
                <w:p>
                  <w:pPr>
                    <w:autoSpaceDE w:val="0"/>
                    <w:autoSpaceDN w:val="0"/>
                    <w:adjustRightInd w:val="0"/>
                    <w:snapToGrid w:val="0"/>
                    <w:jc w:val="center"/>
                    <w:rPr>
                      <w:color w:val="auto"/>
                      <w:szCs w:val="21"/>
                    </w:rPr>
                  </w:pPr>
                  <w:r>
                    <w:rPr>
                      <w:color w:val="auto"/>
                      <w:szCs w:val="21"/>
                    </w:rPr>
                    <w:t>4</w:t>
                  </w:r>
                </w:p>
              </w:tc>
              <w:tc>
                <w:tcPr>
                  <w:tcW w:w="840" w:type="dxa"/>
                  <w:vAlign w:val="center"/>
                </w:tcPr>
                <w:p>
                  <w:pPr>
                    <w:autoSpaceDE w:val="0"/>
                    <w:autoSpaceDN w:val="0"/>
                    <w:adjustRightInd w:val="0"/>
                    <w:snapToGrid w:val="0"/>
                    <w:jc w:val="center"/>
                    <w:rPr>
                      <w:color w:val="auto"/>
                      <w:szCs w:val="21"/>
                    </w:rPr>
                  </w:pPr>
                  <w:r>
                    <w:rPr>
                      <w:color w:val="auto"/>
                      <w:szCs w:val="21"/>
                    </w:rPr>
                    <w:t>《中华人民共和国固体废物污染环境防治法》</w:t>
                  </w:r>
                </w:p>
              </w:tc>
              <w:tc>
                <w:tcPr>
                  <w:tcW w:w="2528" w:type="dxa"/>
                  <w:vAlign w:val="center"/>
                </w:tcPr>
                <w:p>
                  <w:pPr>
                    <w:autoSpaceDE w:val="0"/>
                    <w:autoSpaceDN w:val="0"/>
                    <w:adjustRightInd w:val="0"/>
                    <w:snapToGrid w:val="0"/>
                    <w:jc w:val="center"/>
                    <w:rPr>
                      <w:rFonts w:hint="eastAsia" w:eastAsia="宋体"/>
                      <w:color w:val="auto"/>
                      <w:szCs w:val="21"/>
                      <w:lang w:eastAsia="zh-CN"/>
                    </w:rPr>
                  </w:pPr>
                  <w:r>
                    <w:rPr>
                      <w:rFonts w:hint="eastAsia"/>
                      <w:color w:val="auto"/>
                      <w:szCs w:val="21"/>
                    </w:rPr>
                    <w:t>第二十一条</w:t>
                  </w:r>
                  <w:r>
                    <w:rPr>
                      <w:rFonts w:hint="eastAsia"/>
                      <w:color w:val="auto"/>
                      <w:szCs w:val="21"/>
                      <w:lang w:eastAsia="zh-CN"/>
                    </w:rPr>
                    <w:t>“</w:t>
                  </w:r>
                  <w:r>
                    <w:rPr>
                      <w:rFonts w:hint="eastAsia"/>
                      <w:color w:val="auto"/>
                      <w:szCs w:val="21"/>
                    </w:rPr>
                    <w:t>对收集、贮存、运输、处置固体废物的设施、设备和场所，应当加强管理和维护，保证其正常运行和使用。</w:t>
                  </w:r>
                  <w:r>
                    <w:rPr>
                      <w:rFonts w:hint="eastAsia"/>
                      <w:color w:val="auto"/>
                      <w:szCs w:val="21"/>
                      <w:lang w:eastAsia="zh-CN"/>
                    </w:rPr>
                    <w:t>”</w:t>
                  </w:r>
                </w:p>
              </w:tc>
              <w:tc>
                <w:tcPr>
                  <w:tcW w:w="2539" w:type="dxa"/>
                  <w:vAlign w:val="center"/>
                </w:tcPr>
                <w:p>
                  <w:pPr>
                    <w:autoSpaceDE w:val="0"/>
                    <w:autoSpaceDN w:val="0"/>
                    <w:adjustRightInd w:val="0"/>
                    <w:snapToGrid w:val="0"/>
                    <w:jc w:val="center"/>
                    <w:rPr>
                      <w:color w:val="auto"/>
                      <w:szCs w:val="21"/>
                    </w:rPr>
                  </w:pPr>
                  <w:r>
                    <w:rPr>
                      <w:color w:val="auto"/>
                      <w:szCs w:val="21"/>
                    </w:rPr>
                    <w:t>本项目</w:t>
                  </w:r>
                  <w:r>
                    <w:rPr>
                      <w:rFonts w:hint="eastAsia"/>
                      <w:color w:val="auto"/>
                      <w:szCs w:val="21"/>
                    </w:rPr>
                    <w:t>主要产生</w:t>
                  </w:r>
                  <w:r>
                    <w:rPr>
                      <w:color w:val="auto"/>
                      <w:szCs w:val="21"/>
                    </w:rPr>
                    <w:t>的固废</w:t>
                  </w:r>
                  <w:r>
                    <w:rPr>
                      <w:rFonts w:hint="eastAsia"/>
                      <w:color w:val="auto"/>
                      <w:szCs w:val="21"/>
                    </w:rPr>
                    <w:t>为</w:t>
                  </w:r>
                  <w:r>
                    <w:rPr>
                      <w:color w:val="auto"/>
                      <w:szCs w:val="21"/>
                    </w:rPr>
                    <w:t>边角料</w:t>
                  </w:r>
                  <w:r>
                    <w:rPr>
                      <w:rFonts w:hint="eastAsia"/>
                      <w:color w:val="auto"/>
                      <w:szCs w:val="21"/>
                    </w:rPr>
                    <w:t>、</w:t>
                  </w:r>
                  <w:r>
                    <w:rPr>
                      <w:color w:val="auto"/>
                      <w:szCs w:val="21"/>
                    </w:rPr>
                    <w:t>不合格产品</w:t>
                  </w:r>
                  <w:r>
                    <w:rPr>
                      <w:rFonts w:hint="eastAsia"/>
                      <w:color w:val="auto"/>
                      <w:szCs w:val="21"/>
                    </w:rPr>
                    <w:t>和生活垃圾</w:t>
                  </w:r>
                  <w:r>
                    <w:rPr>
                      <w:color w:val="auto"/>
                      <w:szCs w:val="21"/>
                    </w:rPr>
                    <w:t>，边角料和部分可回用的不合格产品经破碎后回用于生产，废包装材料以及边角料中不能回用于生产的，全部卖给废品回收厂家，不外排。生活垃圾交由垃圾填埋场卫生填埋。综上所述采取相应措施后固体废弃物对环境影响不大。</w:t>
                  </w:r>
                </w:p>
                <w:p>
                  <w:pPr>
                    <w:autoSpaceDE w:val="0"/>
                    <w:autoSpaceDN w:val="0"/>
                    <w:adjustRightInd w:val="0"/>
                    <w:snapToGrid w:val="0"/>
                    <w:jc w:val="center"/>
                    <w:rPr>
                      <w:color w:val="auto"/>
                      <w:szCs w:val="21"/>
                    </w:rPr>
                  </w:pPr>
                </w:p>
              </w:tc>
              <w:tc>
                <w:tcPr>
                  <w:tcW w:w="694" w:type="dxa"/>
                  <w:vAlign w:val="center"/>
                </w:tcPr>
                <w:p>
                  <w:pPr>
                    <w:autoSpaceDE w:val="0"/>
                    <w:autoSpaceDN w:val="0"/>
                    <w:adjustRightInd w:val="0"/>
                    <w:snapToGrid w:val="0"/>
                    <w:jc w:val="center"/>
                    <w:rPr>
                      <w:color w:val="auto"/>
                      <w:szCs w:val="21"/>
                    </w:rPr>
                  </w:pPr>
                  <w:r>
                    <w:rPr>
                      <w:color w:val="auto"/>
                      <w:szCs w:val="21"/>
                    </w:rPr>
                    <w:t>符合</w:t>
                  </w:r>
                </w:p>
              </w:tc>
            </w:tr>
          </w:tbl>
          <w:p>
            <w:pPr>
              <w:autoSpaceDE w:val="0"/>
              <w:autoSpaceDN w:val="0"/>
              <w:adjustRightInd w:val="0"/>
              <w:snapToGrid w:val="0"/>
              <w:spacing w:line="520" w:lineRule="exact"/>
              <w:rPr>
                <w:b/>
                <w:color w:val="auto"/>
                <w:sz w:val="28"/>
                <w:szCs w:val="28"/>
              </w:rPr>
            </w:pPr>
            <w:r>
              <w:rPr>
                <w:rFonts w:hint="eastAsia"/>
                <w:b/>
                <w:color w:val="auto"/>
                <w:sz w:val="28"/>
                <w:szCs w:val="28"/>
              </w:rPr>
              <w:t>4</w:t>
            </w:r>
            <w:r>
              <w:rPr>
                <w:b/>
                <w:color w:val="auto"/>
                <w:sz w:val="28"/>
                <w:szCs w:val="28"/>
              </w:rPr>
              <w:t>生态环境保护规划符合性分析</w:t>
            </w:r>
          </w:p>
          <w:p>
            <w:pPr>
              <w:autoSpaceDE w:val="0"/>
              <w:autoSpaceDN w:val="0"/>
              <w:adjustRightInd w:val="0"/>
              <w:snapToGrid w:val="0"/>
              <w:spacing w:line="520" w:lineRule="exact"/>
              <w:ind w:firstLine="560" w:firstLineChars="200"/>
              <w:rPr>
                <w:rFonts w:hint="eastAsia" w:eastAsia="宋体"/>
                <w:color w:val="0000E1"/>
                <w:sz w:val="28"/>
                <w:szCs w:val="28"/>
                <w:lang w:eastAsia="zh-CN"/>
              </w:rPr>
            </w:pPr>
            <w:r>
              <w:rPr>
                <w:rFonts w:hint="eastAsia"/>
                <w:color w:val="0000E1"/>
                <w:sz w:val="28"/>
                <w:szCs w:val="28"/>
                <w:lang w:eastAsia="zh-CN"/>
              </w:rPr>
              <w:t>（</w:t>
            </w:r>
            <w:r>
              <w:rPr>
                <w:rFonts w:hint="eastAsia"/>
                <w:color w:val="0000E1"/>
                <w:sz w:val="28"/>
                <w:szCs w:val="28"/>
                <w:lang w:val="en-US" w:eastAsia="zh-CN"/>
              </w:rPr>
              <w:t>1</w:t>
            </w:r>
            <w:r>
              <w:rPr>
                <w:rFonts w:hint="eastAsia"/>
                <w:color w:val="0000E1"/>
                <w:sz w:val="28"/>
                <w:szCs w:val="28"/>
                <w:lang w:eastAsia="zh-CN"/>
              </w:rPr>
              <w:t>）《新疆生态环境保护“十四五”规划》</w:t>
            </w:r>
          </w:p>
          <w:p>
            <w:pPr>
              <w:autoSpaceDE w:val="0"/>
              <w:autoSpaceDN w:val="0"/>
              <w:adjustRightInd w:val="0"/>
              <w:snapToGrid w:val="0"/>
              <w:spacing w:line="520" w:lineRule="exact"/>
              <w:ind w:firstLine="560" w:firstLineChars="200"/>
              <w:rPr>
                <w:rFonts w:hint="eastAsia"/>
                <w:color w:val="0000E1"/>
                <w:sz w:val="28"/>
                <w:szCs w:val="28"/>
                <w:lang w:eastAsia="zh-CN"/>
              </w:rPr>
            </w:pPr>
            <w:r>
              <w:rPr>
                <w:rFonts w:hint="eastAsia"/>
                <w:color w:val="0000E1"/>
                <w:sz w:val="28"/>
                <w:szCs w:val="28"/>
                <w:lang w:eastAsia="zh-CN"/>
              </w:rPr>
              <w:t>《新疆生态环境保护“十四五”规划》中提出：深入推进重点区域大气污染治理。深入推进“乌—昌—石”“奎—独—乌”和伊宁市及周边区域大气污染治理，加快推进“乌—昌—石”区域城市细颗粒物和臭氧协同防控“一市一策”驻点跟踪研究工作。强化区域大气污染联防联控，合理确定产业布局，推动区域内统一产业准入和排放标准。实施钢铁、水泥、焦化等行业季节性生产调控措施，推进散煤整治、挥发性有机污染物（以下简称“VOCs”）综合治理、钢铁、水泥、焦化和燃煤工业锅炉行业超低排放改造、燃气锅炉低氮燃烧改造、工业园区内轨道运输（大宗货物“公转铁”）、柴油货车治理、锅炉炉窑综合治理等工程项目。全面推行绿色施工，持续推动城市建成区重污染企业搬迁或关闭退出。</w:t>
            </w:r>
          </w:p>
          <w:p>
            <w:pPr>
              <w:autoSpaceDE w:val="0"/>
              <w:autoSpaceDN w:val="0"/>
              <w:adjustRightInd w:val="0"/>
              <w:snapToGrid w:val="0"/>
              <w:spacing w:line="520" w:lineRule="exact"/>
              <w:ind w:firstLine="560" w:firstLineChars="200"/>
              <w:rPr>
                <w:rFonts w:hint="eastAsia"/>
                <w:color w:val="0000E1"/>
                <w:sz w:val="28"/>
                <w:szCs w:val="28"/>
                <w:lang w:eastAsia="zh-CN"/>
              </w:rPr>
            </w:pPr>
            <w:r>
              <w:rPr>
                <w:rFonts w:hint="default"/>
                <w:color w:val="0000E1"/>
                <w:sz w:val="28"/>
                <w:szCs w:val="28"/>
                <w:lang w:eastAsia="zh-CN"/>
              </w:rPr>
              <w:t>加强重点行业VOCs治理。实施VOCs排放总量控制，重点推进石油天然气开采、石化、化工、包装印刷、工业涂装、油品储运销等重点行业排放源以及机动车等移动源VOCs污染防治，加强重点行业、重点企业的精细化管控；全面推进使用低VOCs含量涂料、油墨、胶粘剂、清洗剂等；加强汽修行业VOCs综合治理，加大餐饮油烟污染治理力度，持续削减VOCs排放量。</w:t>
            </w:r>
          </w:p>
          <w:p>
            <w:pPr>
              <w:autoSpaceDE w:val="0"/>
              <w:autoSpaceDN w:val="0"/>
              <w:adjustRightInd w:val="0"/>
              <w:snapToGrid w:val="0"/>
              <w:spacing w:line="520" w:lineRule="exact"/>
              <w:ind w:firstLine="560" w:firstLineChars="200"/>
              <w:rPr>
                <w:rFonts w:hint="eastAsia"/>
                <w:color w:val="0000E1"/>
                <w:sz w:val="28"/>
                <w:szCs w:val="28"/>
                <w:lang w:eastAsia="zh-CN"/>
              </w:rPr>
            </w:pPr>
            <w:r>
              <w:rPr>
                <w:rFonts w:hint="eastAsia"/>
                <w:color w:val="0000E1"/>
                <w:sz w:val="28"/>
                <w:szCs w:val="28"/>
                <w:lang w:eastAsia="zh-CN"/>
              </w:rPr>
              <w:t>本项目为苯板生产项目，生产线生产过程中产生的非甲烷总烃拟采用光氧催化+活性炭吸附装置进行处理达标后排放。此外，项目采用生物质锅炉提供热源，已安装布袋除尘器进行废气处理。因此，本项目符合《新疆生态环境保护“十四五”规划》的相关要求。</w:t>
            </w:r>
          </w:p>
          <w:p>
            <w:pPr>
              <w:autoSpaceDE w:val="0"/>
              <w:autoSpaceDN w:val="0"/>
              <w:adjustRightInd w:val="0"/>
              <w:snapToGrid w:val="0"/>
              <w:spacing w:line="520" w:lineRule="exact"/>
              <w:ind w:firstLine="560" w:firstLineChars="200"/>
              <w:rPr>
                <w:rFonts w:hint="eastAsia" w:eastAsia="宋体"/>
                <w:color w:val="auto"/>
                <w:sz w:val="28"/>
                <w:szCs w:val="28"/>
                <w:lang w:eastAsia="zh-CN"/>
              </w:rPr>
            </w:pPr>
            <w:r>
              <w:rPr>
                <w:rFonts w:hint="eastAsia"/>
                <w:color w:val="auto"/>
                <w:sz w:val="28"/>
                <w:szCs w:val="28"/>
                <w:lang w:eastAsia="zh-CN"/>
              </w:rPr>
              <w:t>（</w:t>
            </w:r>
            <w:r>
              <w:rPr>
                <w:rFonts w:hint="eastAsia"/>
                <w:color w:val="auto"/>
                <w:sz w:val="28"/>
                <w:szCs w:val="28"/>
                <w:lang w:val="en-US" w:eastAsia="zh-CN"/>
              </w:rPr>
              <w:t>2</w:t>
            </w:r>
            <w:r>
              <w:rPr>
                <w:rFonts w:hint="eastAsia"/>
                <w:color w:val="auto"/>
                <w:sz w:val="28"/>
                <w:szCs w:val="28"/>
                <w:lang w:eastAsia="zh-CN"/>
              </w:rPr>
              <w:t>）</w:t>
            </w:r>
            <w:r>
              <w:rPr>
                <w:bCs/>
                <w:color w:val="auto"/>
                <w:sz w:val="28"/>
                <w:szCs w:val="28"/>
              </w:rPr>
              <w:t>《</w:t>
            </w:r>
            <w:r>
              <w:rPr>
                <w:rFonts w:hint="eastAsia"/>
                <w:bCs/>
                <w:color w:val="auto"/>
                <w:sz w:val="28"/>
                <w:szCs w:val="28"/>
              </w:rPr>
              <w:t>伊犁州直生态</w:t>
            </w:r>
            <w:r>
              <w:rPr>
                <w:bCs/>
                <w:color w:val="auto"/>
                <w:sz w:val="28"/>
                <w:szCs w:val="28"/>
              </w:rPr>
              <w:t>环境保护规划（201</w:t>
            </w:r>
            <w:r>
              <w:rPr>
                <w:rFonts w:hint="eastAsia"/>
                <w:bCs/>
                <w:color w:val="auto"/>
                <w:sz w:val="28"/>
                <w:szCs w:val="28"/>
              </w:rPr>
              <w:t>4</w:t>
            </w:r>
            <w:r>
              <w:rPr>
                <w:bCs/>
                <w:color w:val="auto"/>
                <w:sz w:val="28"/>
                <w:szCs w:val="28"/>
              </w:rPr>
              <w:t>-20</w:t>
            </w:r>
            <w:r>
              <w:rPr>
                <w:rFonts w:hint="eastAsia"/>
                <w:bCs/>
                <w:color w:val="auto"/>
                <w:sz w:val="28"/>
                <w:szCs w:val="28"/>
              </w:rPr>
              <w:t>30</w:t>
            </w:r>
            <w:r>
              <w:rPr>
                <w:bCs/>
                <w:color w:val="auto"/>
                <w:sz w:val="28"/>
                <w:szCs w:val="28"/>
              </w:rPr>
              <w:t>年）》</w:t>
            </w:r>
          </w:p>
          <w:p>
            <w:pPr>
              <w:autoSpaceDE w:val="0"/>
              <w:autoSpaceDN w:val="0"/>
              <w:adjustRightInd w:val="0"/>
              <w:snapToGrid w:val="0"/>
              <w:spacing w:line="520" w:lineRule="exact"/>
              <w:ind w:firstLine="560" w:firstLineChars="200"/>
              <w:rPr>
                <w:bCs/>
                <w:color w:val="auto"/>
                <w:sz w:val="28"/>
                <w:szCs w:val="28"/>
              </w:rPr>
            </w:pPr>
            <w:r>
              <w:rPr>
                <w:bCs/>
                <w:color w:val="auto"/>
                <w:sz w:val="28"/>
                <w:szCs w:val="28"/>
              </w:rPr>
              <w:t>《</w:t>
            </w:r>
            <w:r>
              <w:rPr>
                <w:rFonts w:hint="eastAsia"/>
                <w:bCs/>
                <w:color w:val="auto"/>
                <w:sz w:val="28"/>
                <w:szCs w:val="28"/>
              </w:rPr>
              <w:t>伊犁州直生态</w:t>
            </w:r>
            <w:r>
              <w:rPr>
                <w:bCs/>
                <w:color w:val="auto"/>
                <w:sz w:val="28"/>
                <w:szCs w:val="28"/>
              </w:rPr>
              <w:t>环境保护规划（201</w:t>
            </w:r>
            <w:r>
              <w:rPr>
                <w:rFonts w:hint="eastAsia"/>
                <w:bCs/>
                <w:color w:val="auto"/>
                <w:sz w:val="28"/>
                <w:szCs w:val="28"/>
              </w:rPr>
              <w:t>4</w:t>
            </w:r>
            <w:r>
              <w:rPr>
                <w:bCs/>
                <w:color w:val="auto"/>
                <w:sz w:val="28"/>
                <w:szCs w:val="28"/>
              </w:rPr>
              <w:t>-20</w:t>
            </w:r>
            <w:r>
              <w:rPr>
                <w:rFonts w:hint="eastAsia"/>
                <w:bCs/>
                <w:color w:val="auto"/>
                <w:sz w:val="28"/>
                <w:szCs w:val="28"/>
              </w:rPr>
              <w:t>30</w:t>
            </w:r>
            <w:r>
              <w:rPr>
                <w:bCs/>
                <w:color w:val="auto"/>
                <w:sz w:val="28"/>
                <w:szCs w:val="28"/>
              </w:rPr>
              <w:t>年）》</w:t>
            </w:r>
            <w:r>
              <w:rPr>
                <w:rFonts w:hint="eastAsia"/>
                <w:bCs/>
                <w:color w:val="auto"/>
                <w:sz w:val="28"/>
                <w:szCs w:val="28"/>
              </w:rPr>
              <w:t>规划要求：逐步取消小型</w:t>
            </w:r>
            <w:bookmarkStart w:id="3" w:name="_GoBack"/>
            <w:r>
              <w:rPr>
                <w:rFonts w:hint="eastAsia"/>
                <w:bCs/>
                <w:color w:val="auto"/>
                <w:sz w:val="28"/>
                <w:szCs w:val="28"/>
              </w:rPr>
              <w:t>燃煤</w:t>
            </w:r>
            <w:bookmarkEnd w:id="3"/>
            <w:r>
              <w:rPr>
                <w:rFonts w:hint="eastAsia"/>
                <w:bCs/>
                <w:color w:val="auto"/>
                <w:sz w:val="28"/>
                <w:szCs w:val="28"/>
              </w:rPr>
              <w:t>锅炉，发展集中供热，推行清洁能源。工业企业选址应在利于废气扩散地区，与居住区之间要保持一定距离，不得选在居住区上风向。</w:t>
            </w:r>
          </w:p>
          <w:p>
            <w:pPr>
              <w:autoSpaceDE w:val="0"/>
              <w:autoSpaceDN w:val="0"/>
              <w:adjustRightInd w:val="0"/>
              <w:snapToGrid w:val="0"/>
              <w:spacing w:line="520" w:lineRule="exact"/>
              <w:ind w:firstLine="560" w:firstLineChars="200"/>
              <w:rPr>
                <w:color w:val="auto"/>
              </w:rPr>
            </w:pPr>
            <w:r>
              <w:rPr>
                <w:rFonts w:hint="eastAsia"/>
                <w:bCs/>
                <w:color w:val="auto"/>
                <w:sz w:val="28"/>
                <w:szCs w:val="28"/>
              </w:rPr>
              <w:t>本项目采用运行成本低，又能环保的生物质锅炉，本项目下风向无居住区，</w:t>
            </w:r>
            <w:r>
              <w:rPr>
                <w:bCs/>
                <w:color w:val="auto"/>
                <w:sz w:val="28"/>
                <w:szCs w:val="28"/>
              </w:rPr>
              <w:t>根据规划要求，本项目的建设符合规划。</w:t>
            </w:r>
          </w:p>
          <w:p>
            <w:pPr>
              <w:autoSpaceDE w:val="0"/>
              <w:autoSpaceDN w:val="0"/>
              <w:adjustRightInd w:val="0"/>
              <w:snapToGrid w:val="0"/>
              <w:spacing w:line="520" w:lineRule="exact"/>
              <w:rPr>
                <w:b/>
                <w:color w:val="0000E1"/>
                <w:sz w:val="28"/>
                <w:szCs w:val="28"/>
              </w:rPr>
            </w:pPr>
            <w:r>
              <w:rPr>
                <w:rFonts w:hint="eastAsia"/>
                <w:b/>
                <w:color w:val="0000E1"/>
                <w:sz w:val="28"/>
                <w:szCs w:val="28"/>
                <w:lang w:val="en-US" w:eastAsia="zh-CN"/>
              </w:rPr>
              <w:t>5其他</w:t>
            </w:r>
            <w:r>
              <w:rPr>
                <w:b/>
                <w:color w:val="0000E1"/>
                <w:sz w:val="28"/>
                <w:szCs w:val="28"/>
              </w:rPr>
              <w:t>符合性分析</w:t>
            </w:r>
          </w:p>
          <w:p>
            <w:pPr>
              <w:autoSpaceDE w:val="0"/>
              <w:autoSpaceDN w:val="0"/>
              <w:adjustRightInd w:val="0"/>
              <w:snapToGrid w:val="0"/>
              <w:spacing w:line="520" w:lineRule="exact"/>
              <w:ind w:firstLine="560" w:firstLineChars="200"/>
              <w:rPr>
                <w:rFonts w:hint="eastAsia" w:ascii="Times New Roman" w:hAnsi="Times New Roman" w:eastAsia="宋体"/>
                <w:bCs/>
                <w:color w:val="0000E1"/>
                <w:sz w:val="28"/>
                <w:szCs w:val="28"/>
                <w:lang w:eastAsia="zh-CN"/>
              </w:rPr>
            </w:pPr>
            <w:r>
              <w:rPr>
                <w:rFonts w:hint="eastAsia" w:ascii="Times New Roman" w:hAnsi="Times New Roman" w:eastAsia="宋体"/>
                <w:bCs/>
                <w:color w:val="0000E1"/>
                <w:sz w:val="28"/>
                <w:szCs w:val="28"/>
                <w:lang w:eastAsia="zh-CN"/>
              </w:rPr>
              <w:t>（</w:t>
            </w:r>
            <w:r>
              <w:rPr>
                <w:rFonts w:hint="eastAsia" w:ascii="Times New Roman" w:hAnsi="Times New Roman" w:eastAsia="宋体"/>
                <w:bCs/>
                <w:color w:val="0000E1"/>
                <w:sz w:val="28"/>
                <w:szCs w:val="28"/>
                <w:lang w:val="en-US" w:eastAsia="zh-CN"/>
              </w:rPr>
              <w:t>1</w:t>
            </w:r>
            <w:r>
              <w:rPr>
                <w:rFonts w:hint="eastAsia" w:ascii="Times New Roman" w:hAnsi="Times New Roman" w:eastAsia="宋体"/>
                <w:bCs/>
                <w:color w:val="0000E1"/>
                <w:sz w:val="28"/>
                <w:szCs w:val="28"/>
                <w:lang w:eastAsia="zh-CN"/>
              </w:rPr>
              <w:t>）与《</w:t>
            </w:r>
            <w:r>
              <w:rPr>
                <w:rFonts w:hint="default" w:ascii="Times New Roman" w:hAnsi="Times New Roman" w:eastAsia="宋体" w:cs="Times New Roman"/>
                <w:color w:val="0000E1"/>
                <w:kern w:val="0"/>
                <w:sz w:val="28"/>
                <w:szCs w:val="28"/>
                <w:lang w:val="en-US" w:eastAsia="zh-CN" w:bidi="ar"/>
              </w:rPr>
              <w:t>重点行业挥发性有机物综合治理方案</w:t>
            </w:r>
            <w:r>
              <w:rPr>
                <w:rFonts w:hint="eastAsia" w:ascii="Times New Roman" w:hAnsi="Times New Roman" w:eastAsia="宋体"/>
                <w:bCs/>
                <w:color w:val="0000E1"/>
                <w:sz w:val="28"/>
                <w:szCs w:val="28"/>
                <w:lang w:eastAsia="zh-CN"/>
              </w:rPr>
              <w:t>》的符合性</w:t>
            </w:r>
          </w:p>
          <w:p>
            <w:pPr>
              <w:autoSpaceDE w:val="0"/>
              <w:autoSpaceDN w:val="0"/>
              <w:adjustRightInd w:val="0"/>
              <w:snapToGrid w:val="0"/>
              <w:spacing w:line="520" w:lineRule="exact"/>
              <w:ind w:firstLine="560" w:firstLineChars="200"/>
              <w:rPr>
                <w:rFonts w:hint="eastAsia" w:ascii="Times New Roman" w:hAnsi="Times New Roman" w:eastAsia="宋体"/>
                <w:bCs/>
                <w:color w:val="0000E1"/>
                <w:sz w:val="28"/>
                <w:szCs w:val="28"/>
                <w:lang w:eastAsia="zh-CN"/>
              </w:rPr>
            </w:pPr>
            <w:r>
              <w:rPr>
                <w:rFonts w:hint="eastAsia" w:ascii="Times New Roman" w:hAnsi="Times New Roman" w:eastAsia="宋体"/>
                <w:bCs/>
                <w:color w:val="0000E1"/>
                <w:sz w:val="28"/>
                <w:szCs w:val="28"/>
                <w:lang w:eastAsia="zh-CN"/>
              </w:rPr>
              <w:t>根据《</w:t>
            </w:r>
            <w:r>
              <w:rPr>
                <w:rFonts w:hint="default" w:ascii="Times New Roman" w:hAnsi="Times New Roman" w:eastAsia="宋体" w:cs="Times New Roman"/>
                <w:color w:val="0000E1"/>
                <w:kern w:val="0"/>
                <w:sz w:val="28"/>
                <w:szCs w:val="28"/>
                <w:lang w:val="en-US" w:eastAsia="zh-CN" w:bidi="ar"/>
              </w:rPr>
              <w:t>重点行业挥发性有机物综合治理方案</w:t>
            </w:r>
            <w:r>
              <w:rPr>
                <w:rFonts w:hint="eastAsia" w:ascii="Times New Roman" w:hAnsi="Times New Roman" w:eastAsia="宋体"/>
                <w:bCs/>
                <w:color w:val="0000E1"/>
                <w:sz w:val="28"/>
                <w:szCs w:val="28"/>
                <w:lang w:eastAsia="zh-CN"/>
              </w:rPr>
              <w:t>》中的要求，全面加强无组织排放控制。重点对含VOCs物料（包括含VOCs原辅材料、含VOCs产品、含VOCs废料以及有机聚合物材料等）储存、转移和输送、设备与管线组件泄漏、敞开液面逸散以及工艺过程等五类排放源实施管控，通过采取设备与场所密闭、工艺改进、废气有效收集等措施，削减VOCs无组织排放。</w:t>
            </w:r>
          </w:p>
          <w:p>
            <w:pPr>
              <w:autoSpaceDE w:val="0"/>
              <w:autoSpaceDN w:val="0"/>
              <w:adjustRightInd w:val="0"/>
              <w:snapToGrid w:val="0"/>
              <w:spacing w:line="520" w:lineRule="exact"/>
              <w:ind w:firstLine="560" w:firstLineChars="200"/>
              <w:rPr>
                <w:rFonts w:hint="eastAsia" w:ascii="Times New Roman" w:hAnsi="Times New Roman" w:eastAsia="宋体"/>
                <w:bCs/>
                <w:color w:val="0000E1"/>
                <w:sz w:val="28"/>
                <w:szCs w:val="28"/>
                <w:lang w:eastAsia="zh-CN"/>
              </w:rPr>
            </w:pPr>
            <w:r>
              <w:rPr>
                <w:rFonts w:hint="eastAsia" w:ascii="Times New Roman" w:hAnsi="Times New Roman" w:eastAsia="宋体"/>
                <w:bCs/>
                <w:color w:val="0000E1"/>
                <w:sz w:val="28"/>
                <w:szCs w:val="28"/>
                <w:lang w:eastAsia="zh-CN"/>
              </w:rPr>
              <w:t>本项目生产过程中产生的非甲烷总烃由车间内集气罩进行收集，收集后由</w:t>
            </w:r>
            <w:r>
              <w:rPr>
                <w:rFonts w:hint="eastAsia"/>
                <w:color w:val="0000E1"/>
                <w:sz w:val="28"/>
                <w:szCs w:val="28"/>
                <w:lang w:eastAsia="zh-CN"/>
              </w:rPr>
              <w:t>光氧催化+活性炭吸附装置进行处理达标后排放，可有效减少</w:t>
            </w:r>
            <w:r>
              <w:rPr>
                <w:rFonts w:hint="eastAsia" w:ascii="Times New Roman" w:hAnsi="Times New Roman" w:eastAsia="宋体"/>
                <w:bCs/>
                <w:color w:val="0000E1"/>
                <w:sz w:val="28"/>
                <w:szCs w:val="28"/>
                <w:lang w:eastAsia="zh-CN"/>
              </w:rPr>
              <w:t>非甲烷总烃的排放，符合《</w:t>
            </w:r>
            <w:r>
              <w:rPr>
                <w:rFonts w:hint="default" w:ascii="Times New Roman" w:hAnsi="Times New Roman" w:eastAsia="宋体" w:cs="Times New Roman"/>
                <w:color w:val="0000E1"/>
                <w:kern w:val="0"/>
                <w:sz w:val="28"/>
                <w:szCs w:val="28"/>
                <w:lang w:val="en-US" w:eastAsia="zh-CN" w:bidi="ar"/>
              </w:rPr>
              <w:t>重点行业挥发性有机物综合治理方案</w:t>
            </w:r>
            <w:r>
              <w:rPr>
                <w:rFonts w:hint="eastAsia" w:ascii="Times New Roman" w:hAnsi="Times New Roman" w:eastAsia="宋体"/>
                <w:bCs/>
                <w:color w:val="0000E1"/>
                <w:sz w:val="28"/>
                <w:szCs w:val="28"/>
                <w:lang w:eastAsia="zh-CN"/>
              </w:rPr>
              <w:t>》的相关要求。</w:t>
            </w:r>
          </w:p>
          <w:p>
            <w:pPr>
              <w:autoSpaceDE w:val="0"/>
              <w:autoSpaceDN w:val="0"/>
              <w:adjustRightInd w:val="0"/>
              <w:snapToGrid w:val="0"/>
              <w:spacing w:line="520" w:lineRule="exact"/>
              <w:ind w:firstLine="560" w:firstLineChars="200"/>
              <w:rPr>
                <w:rFonts w:hint="eastAsia" w:ascii="Times New Roman" w:hAnsi="Times New Roman" w:eastAsia="宋体"/>
                <w:color w:val="0000E1"/>
                <w:sz w:val="28"/>
                <w:szCs w:val="28"/>
                <w:lang w:eastAsia="zh-CN"/>
              </w:rPr>
            </w:pPr>
            <w:r>
              <w:rPr>
                <w:rFonts w:hint="eastAsia" w:ascii="Times New Roman" w:hAnsi="Times New Roman" w:eastAsia="宋体"/>
                <w:color w:val="0000E1"/>
                <w:sz w:val="28"/>
                <w:szCs w:val="28"/>
                <w:lang w:eastAsia="zh-CN"/>
              </w:rPr>
              <w:t>（</w:t>
            </w:r>
            <w:r>
              <w:rPr>
                <w:rFonts w:hint="eastAsia" w:ascii="Times New Roman" w:hAnsi="Times New Roman" w:eastAsia="宋体"/>
                <w:color w:val="0000E1"/>
                <w:sz w:val="28"/>
                <w:szCs w:val="28"/>
                <w:lang w:val="en-US" w:eastAsia="zh-CN"/>
              </w:rPr>
              <w:t>2</w:t>
            </w:r>
            <w:r>
              <w:rPr>
                <w:rFonts w:hint="eastAsia" w:ascii="Times New Roman" w:hAnsi="Times New Roman" w:eastAsia="宋体"/>
                <w:color w:val="0000E1"/>
                <w:sz w:val="28"/>
                <w:szCs w:val="28"/>
                <w:lang w:eastAsia="zh-CN"/>
              </w:rPr>
              <w:t>）与《2020年挥发性有机物治理攻坚方案》的符合性</w:t>
            </w:r>
          </w:p>
          <w:p>
            <w:pPr>
              <w:autoSpaceDE w:val="0"/>
              <w:autoSpaceDN w:val="0"/>
              <w:adjustRightInd w:val="0"/>
              <w:snapToGrid w:val="0"/>
              <w:spacing w:line="520" w:lineRule="exact"/>
              <w:ind w:firstLine="560" w:firstLineChars="200"/>
              <w:rPr>
                <w:rFonts w:hint="eastAsia" w:ascii="Times New Roman" w:hAnsi="Times New Roman" w:eastAsia="宋体"/>
                <w:color w:val="0000E1"/>
                <w:sz w:val="28"/>
                <w:szCs w:val="28"/>
                <w:lang w:eastAsia="zh-CN"/>
              </w:rPr>
            </w:pPr>
            <w:r>
              <w:rPr>
                <w:rFonts w:hint="eastAsia" w:ascii="Times New Roman" w:hAnsi="Times New Roman" w:eastAsia="宋体"/>
                <w:color w:val="0000E1"/>
                <w:sz w:val="28"/>
                <w:szCs w:val="28"/>
                <w:lang w:eastAsia="zh-CN"/>
              </w:rPr>
              <w:t>根据《2020年挥发性有机物治理攻坚方案》的相关要求：加强含VOCs物料全方位、全链条、全环节密闭管理。生产和使用环节应采用密闭设备，或在密闭空间中操作并有效收集废气，或进行局部气体收集；非取用状态时容器应密闭。除恶臭异味治理外，一般不采用低温等离子、光催化、光氧化等技术。行业排放标准中规定特别排放限值和控制要求的，应按相关规定执行；未制定行业标准的应执行大气污染物综合排放标准和挥发性有机物无组织排放控制标准；已制定更严格地方排放标准的，按地方标准执行。</w:t>
            </w:r>
          </w:p>
          <w:p>
            <w:pPr>
              <w:autoSpaceDE w:val="0"/>
              <w:autoSpaceDN w:val="0"/>
              <w:adjustRightInd w:val="0"/>
              <w:snapToGrid w:val="0"/>
              <w:spacing w:line="520" w:lineRule="exact"/>
              <w:ind w:firstLine="560" w:firstLineChars="200"/>
              <w:rPr>
                <w:rFonts w:hint="eastAsia" w:ascii="Times New Roman" w:hAnsi="Times New Roman" w:eastAsia="宋体"/>
                <w:color w:val="0000E1"/>
                <w:sz w:val="28"/>
                <w:szCs w:val="28"/>
                <w:lang w:eastAsia="zh-CN"/>
              </w:rPr>
            </w:pPr>
            <w:r>
              <w:rPr>
                <w:rFonts w:hint="eastAsia" w:ascii="Times New Roman" w:hAnsi="Times New Roman" w:eastAsia="宋体"/>
                <w:bCs/>
                <w:color w:val="0000E1"/>
                <w:sz w:val="28"/>
                <w:szCs w:val="28"/>
                <w:lang w:eastAsia="zh-CN"/>
              </w:rPr>
              <w:t>本项目生产过程中产生的非甲烷总烃由车间内集气罩进行收集，收集后由</w:t>
            </w:r>
            <w:r>
              <w:rPr>
                <w:rFonts w:hint="eastAsia"/>
                <w:color w:val="0000E1"/>
                <w:sz w:val="28"/>
                <w:szCs w:val="28"/>
                <w:lang w:eastAsia="zh-CN"/>
              </w:rPr>
              <w:t>光氧催化+活性炭吸附装置进行处理后满足</w:t>
            </w:r>
            <w:r>
              <w:rPr>
                <w:rFonts w:hint="eastAsia"/>
                <w:color w:val="0000E1"/>
                <w:sz w:val="28"/>
                <w:szCs w:val="28"/>
              </w:rPr>
              <w:t>《合成树脂工业污染物排放标准》（</w:t>
            </w:r>
            <w:r>
              <w:rPr>
                <w:color w:val="0000E1"/>
                <w:sz w:val="28"/>
                <w:szCs w:val="28"/>
              </w:rPr>
              <w:t>GB31572-2015</w:t>
            </w:r>
            <w:r>
              <w:rPr>
                <w:rFonts w:hint="eastAsia"/>
                <w:color w:val="0000E1"/>
                <w:sz w:val="28"/>
                <w:szCs w:val="28"/>
              </w:rPr>
              <w:t>）</w:t>
            </w:r>
            <w:r>
              <w:rPr>
                <w:rFonts w:hint="eastAsia"/>
                <w:color w:val="0000E1"/>
                <w:sz w:val="28"/>
                <w:szCs w:val="28"/>
                <w:lang w:eastAsia="zh-CN"/>
              </w:rPr>
              <w:t>及</w:t>
            </w:r>
            <w:r>
              <w:rPr>
                <w:rFonts w:hint="eastAsia"/>
                <w:color w:val="0000E1"/>
                <w:sz w:val="28"/>
                <w:szCs w:val="28"/>
              </w:rPr>
              <w:t>《挥发性有机物无组织排放控制标准》（GB37822—2019）</w:t>
            </w:r>
            <w:r>
              <w:rPr>
                <w:rFonts w:hint="eastAsia"/>
                <w:color w:val="0000E1"/>
                <w:kern w:val="0"/>
                <w:sz w:val="28"/>
                <w:szCs w:val="28"/>
              </w:rPr>
              <w:t>浓度</w:t>
            </w:r>
            <w:r>
              <w:rPr>
                <w:rFonts w:hint="eastAsia"/>
                <w:color w:val="0000E1"/>
                <w:kern w:val="0"/>
                <w:sz w:val="28"/>
                <w:szCs w:val="28"/>
                <w:lang w:eastAsia="zh-CN"/>
              </w:rPr>
              <w:t>限值</w:t>
            </w:r>
            <w:r>
              <w:rPr>
                <w:rFonts w:hint="eastAsia"/>
                <w:color w:val="0000E1"/>
                <w:sz w:val="28"/>
                <w:szCs w:val="28"/>
                <w:lang w:eastAsia="zh-CN"/>
              </w:rPr>
              <w:t>，符合</w:t>
            </w:r>
            <w:r>
              <w:rPr>
                <w:rFonts w:hint="eastAsia" w:ascii="Times New Roman" w:hAnsi="Times New Roman" w:eastAsia="宋体"/>
                <w:color w:val="0000E1"/>
                <w:sz w:val="28"/>
                <w:szCs w:val="28"/>
                <w:lang w:eastAsia="zh-CN"/>
              </w:rPr>
              <w:t>《2020年挥发性有机物治理攻坚方案》的相关要求。</w:t>
            </w:r>
          </w:p>
          <w:p>
            <w:pPr>
              <w:autoSpaceDE w:val="0"/>
              <w:autoSpaceDN w:val="0"/>
              <w:adjustRightInd w:val="0"/>
              <w:snapToGrid w:val="0"/>
              <w:spacing w:line="520" w:lineRule="exact"/>
              <w:ind w:firstLine="560" w:firstLineChars="200"/>
              <w:rPr>
                <w:rFonts w:hint="eastAsia" w:ascii="Times New Roman" w:hAnsi="Times New Roman" w:eastAsia="宋体"/>
                <w:color w:val="0000E1"/>
                <w:sz w:val="28"/>
                <w:szCs w:val="28"/>
                <w:lang w:eastAsia="zh-CN"/>
              </w:rPr>
            </w:pPr>
            <w:r>
              <w:rPr>
                <w:rFonts w:hint="eastAsia" w:ascii="Times New Roman" w:hAnsi="Times New Roman" w:eastAsia="宋体"/>
                <w:color w:val="0000E1"/>
                <w:sz w:val="28"/>
                <w:szCs w:val="28"/>
                <w:lang w:eastAsia="zh-CN"/>
              </w:rPr>
              <w:t>（</w:t>
            </w:r>
            <w:r>
              <w:rPr>
                <w:rFonts w:hint="eastAsia" w:ascii="Times New Roman" w:hAnsi="Times New Roman" w:eastAsia="宋体"/>
                <w:color w:val="0000E1"/>
                <w:sz w:val="28"/>
                <w:szCs w:val="28"/>
                <w:lang w:val="en-US" w:eastAsia="zh-CN"/>
              </w:rPr>
              <w:t>3</w:t>
            </w:r>
            <w:r>
              <w:rPr>
                <w:rFonts w:hint="eastAsia" w:ascii="Times New Roman" w:hAnsi="Times New Roman" w:eastAsia="宋体"/>
                <w:color w:val="0000E1"/>
                <w:sz w:val="28"/>
                <w:szCs w:val="28"/>
                <w:lang w:eastAsia="zh-CN"/>
              </w:rPr>
              <w:t>）选址合理性分析</w:t>
            </w:r>
          </w:p>
          <w:p>
            <w:pPr>
              <w:autoSpaceDE w:val="0"/>
              <w:autoSpaceDN w:val="0"/>
              <w:adjustRightInd w:val="0"/>
              <w:snapToGrid w:val="0"/>
              <w:spacing w:line="520" w:lineRule="exact"/>
              <w:ind w:firstLine="560" w:firstLineChars="200"/>
              <w:rPr>
                <w:rFonts w:hint="eastAsia" w:ascii="Times New Roman" w:hAnsi="Times New Roman" w:eastAsia="宋体"/>
                <w:color w:val="0000E1"/>
                <w:sz w:val="28"/>
                <w:szCs w:val="28"/>
                <w:lang w:eastAsia="zh-CN"/>
              </w:rPr>
            </w:pPr>
            <w:r>
              <w:rPr>
                <w:rFonts w:hint="eastAsia" w:ascii="Times New Roman" w:hAnsi="Times New Roman" w:eastAsia="宋体"/>
                <w:color w:val="0000E1"/>
                <w:sz w:val="28"/>
                <w:szCs w:val="28"/>
                <w:lang w:eastAsia="zh-CN"/>
              </w:rPr>
              <w:t>根据《巩留县土地利用总体规划（</w:t>
            </w:r>
            <w:r>
              <w:rPr>
                <w:rFonts w:hint="eastAsia" w:ascii="Times New Roman" w:hAnsi="Times New Roman" w:eastAsia="宋体"/>
                <w:color w:val="0000E1"/>
                <w:sz w:val="28"/>
                <w:szCs w:val="28"/>
                <w:lang w:val="en-US" w:eastAsia="zh-CN"/>
              </w:rPr>
              <w:t>2010-2020</w:t>
            </w:r>
            <w:r>
              <w:rPr>
                <w:rFonts w:hint="eastAsia" w:ascii="Times New Roman" w:hAnsi="Times New Roman" w:eastAsia="宋体"/>
                <w:color w:val="0000E1"/>
                <w:sz w:val="28"/>
                <w:szCs w:val="28"/>
                <w:lang w:eastAsia="zh-CN"/>
              </w:rPr>
              <w:t>）》、《巩留县总体规划（</w:t>
            </w:r>
            <w:r>
              <w:rPr>
                <w:rFonts w:hint="eastAsia" w:ascii="Times New Roman" w:hAnsi="Times New Roman" w:eastAsia="宋体"/>
                <w:color w:val="0000E1"/>
                <w:sz w:val="28"/>
                <w:szCs w:val="28"/>
                <w:lang w:val="en-US" w:eastAsia="zh-CN"/>
              </w:rPr>
              <w:t>2012-2030</w:t>
            </w:r>
            <w:r>
              <w:rPr>
                <w:rFonts w:hint="eastAsia" w:ascii="Times New Roman" w:hAnsi="Times New Roman" w:eastAsia="宋体"/>
                <w:color w:val="0000E1"/>
                <w:sz w:val="28"/>
                <w:szCs w:val="28"/>
                <w:lang w:eastAsia="zh-CN"/>
              </w:rPr>
              <w:t>）》，项目位于巩留县县城北部工业聚集区内，属巩留县工业用地内，周边均为工业企业，无环境敏感点，且项目已取得巩留县人民政府核发的土地使用证，已出让形式取得用地使用权，地类为工业用地，因此项目选址合理。</w:t>
            </w: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ind w:firstLine="420" w:firstLineChars="200"/>
              <w:rPr>
                <w:color w:val="auto"/>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p>
            <w:pPr>
              <w:autoSpaceDE w:val="0"/>
              <w:autoSpaceDN w:val="0"/>
              <w:adjustRightInd w:val="0"/>
              <w:snapToGrid w:val="0"/>
              <w:spacing w:line="520" w:lineRule="exact"/>
              <w:rPr>
                <w:color w:val="auto"/>
                <w:kern w:val="0"/>
                <w:sz w:val="28"/>
                <w:szCs w:val="28"/>
              </w:rPr>
            </w:pPr>
          </w:p>
        </w:tc>
      </w:tr>
    </w:tbl>
    <w:p>
      <w:pPr>
        <w:spacing w:line="360" w:lineRule="auto"/>
        <w:outlineLvl w:val="0"/>
        <w:rPr>
          <w:rFonts w:eastAsia="黑体"/>
          <w:color w:val="auto"/>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15"/>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二、建设项目工程分析</w:t>
      </w:r>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77"/>
        <w:gridCol w:w="798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43" w:hRule="atLeast"/>
          <w:jc w:val="center"/>
        </w:trPr>
        <w:tc>
          <w:tcPr>
            <w:tcW w:w="1077" w:type="dxa"/>
            <w:vAlign w:val="center"/>
          </w:tcPr>
          <w:p>
            <w:pPr>
              <w:pStyle w:val="15"/>
              <w:adjustRightInd w:val="0"/>
              <w:snapToGrid w:val="0"/>
              <w:spacing w:before="0" w:beforeAutospacing="0" w:after="0" w:afterAutospacing="0"/>
              <w:jc w:val="center"/>
              <w:rPr>
                <w:rFonts w:ascii="Times New Roman" w:hAnsi="Times New Roman"/>
                <w:color w:val="auto"/>
                <w:sz w:val="28"/>
                <w:szCs w:val="28"/>
              </w:rPr>
            </w:pPr>
            <w:r>
              <w:rPr>
                <w:rFonts w:ascii="Times New Roman" w:hAnsi="Times New Roman"/>
                <w:color w:val="auto"/>
                <w:sz w:val="28"/>
                <w:szCs w:val="28"/>
              </w:rPr>
              <w:t>建设内容</w:t>
            </w:r>
          </w:p>
        </w:tc>
        <w:tc>
          <w:tcPr>
            <w:tcW w:w="7983" w:type="dxa"/>
          </w:tcPr>
          <w:p>
            <w:pPr>
              <w:adjustRightInd w:val="0"/>
              <w:snapToGrid w:val="0"/>
              <w:spacing w:line="520" w:lineRule="exact"/>
              <w:rPr>
                <w:b/>
                <w:color w:val="auto"/>
                <w:sz w:val="28"/>
                <w:szCs w:val="28"/>
              </w:rPr>
            </w:pPr>
            <w:r>
              <w:rPr>
                <w:b/>
                <w:color w:val="auto"/>
                <w:sz w:val="28"/>
                <w:szCs w:val="28"/>
              </w:rPr>
              <w:t>1建设规模及内容</w:t>
            </w:r>
          </w:p>
          <w:p>
            <w:pPr>
              <w:adjustRightInd w:val="0"/>
              <w:snapToGrid w:val="0"/>
              <w:spacing w:line="520" w:lineRule="exact"/>
              <w:rPr>
                <w:b/>
                <w:color w:val="auto"/>
                <w:sz w:val="28"/>
                <w:szCs w:val="28"/>
              </w:rPr>
            </w:pPr>
            <w:r>
              <w:rPr>
                <w:b/>
                <w:color w:val="auto"/>
                <w:sz w:val="28"/>
                <w:szCs w:val="28"/>
              </w:rPr>
              <w:t>1.1主体工程</w:t>
            </w:r>
          </w:p>
          <w:p>
            <w:pPr>
              <w:adjustRightInd w:val="0"/>
              <w:snapToGrid w:val="0"/>
              <w:spacing w:line="520" w:lineRule="exact"/>
              <w:ind w:firstLine="560" w:firstLineChars="200"/>
              <w:rPr>
                <w:rFonts w:hint="eastAsia"/>
                <w:color w:val="0000E1"/>
                <w:sz w:val="28"/>
                <w:szCs w:val="28"/>
                <w:lang w:eastAsia="zh-CN"/>
              </w:rPr>
            </w:pPr>
            <w:r>
              <w:rPr>
                <w:rFonts w:hint="eastAsia"/>
                <w:color w:val="auto"/>
                <w:sz w:val="28"/>
                <w:szCs w:val="28"/>
              </w:rPr>
              <w:t>本项目占地面积为5993.2m</w:t>
            </w:r>
            <w:r>
              <w:rPr>
                <w:rFonts w:hint="eastAsia"/>
                <w:color w:val="auto"/>
                <w:sz w:val="28"/>
                <w:szCs w:val="28"/>
                <w:vertAlign w:val="superscript"/>
              </w:rPr>
              <w:t>2</w:t>
            </w:r>
            <w:r>
              <w:rPr>
                <w:rFonts w:hint="eastAsia"/>
                <w:color w:val="auto"/>
                <w:sz w:val="28"/>
                <w:szCs w:val="28"/>
              </w:rPr>
              <w:t>，租用巩留县众邦养殖专业合作社房产</w:t>
            </w:r>
            <w:r>
              <w:rPr>
                <w:rFonts w:hint="eastAsia"/>
                <w:color w:val="auto"/>
                <w:sz w:val="28"/>
                <w:szCs w:val="28"/>
                <w:lang w:eastAsia="zh-CN"/>
              </w:rPr>
              <w:t>。本项目建设</w:t>
            </w:r>
            <w:r>
              <w:rPr>
                <w:rFonts w:hint="eastAsia"/>
                <w:color w:val="auto"/>
                <w:sz w:val="28"/>
                <w:szCs w:val="28"/>
              </w:rPr>
              <w:t>苯板加工生产线一条，以聚苯乙烯（EPS颗粒）为主要原料，采用</w:t>
            </w:r>
            <w:r>
              <w:rPr>
                <w:rFonts w:hint="eastAsia"/>
                <w:color w:val="auto"/>
                <w:sz w:val="28"/>
                <w:szCs w:val="28"/>
                <w:lang w:eastAsia="zh-CN"/>
              </w:rPr>
              <w:t>“</w:t>
            </w:r>
            <w:r>
              <w:rPr>
                <w:rFonts w:hint="eastAsia"/>
                <w:color w:val="auto"/>
                <w:sz w:val="28"/>
                <w:szCs w:val="28"/>
              </w:rPr>
              <w:t>预发泡+干燥+成型</w:t>
            </w:r>
            <w:r>
              <w:rPr>
                <w:rFonts w:hint="eastAsia"/>
                <w:color w:val="auto"/>
                <w:sz w:val="28"/>
                <w:szCs w:val="28"/>
                <w:lang w:eastAsia="zh-CN"/>
              </w:rPr>
              <w:t>”</w:t>
            </w:r>
            <w:r>
              <w:rPr>
                <w:rFonts w:hint="eastAsia"/>
                <w:color w:val="auto"/>
                <w:sz w:val="28"/>
                <w:szCs w:val="28"/>
              </w:rPr>
              <w:t>的工艺，生产苯板，</w:t>
            </w:r>
            <w:r>
              <w:rPr>
                <w:rFonts w:hint="eastAsia"/>
                <w:color w:val="0000E1"/>
                <w:sz w:val="28"/>
                <w:szCs w:val="28"/>
              </w:rPr>
              <w:t>项目投产后可生产苯板5000m</w:t>
            </w:r>
            <w:r>
              <w:rPr>
                <w:rFonts w:hint="eastAsia"/>
                <w:color w:val="0000E1"/>
                <w:sz w:val="28"/>
                <w:szCs w:val="28"/>
                <w:vertAlign w:val="superscript"/>
              </w:rPr>
              <w:t>3</w:t>
            </w:r>
            <w:r>
              <w:rPr>
                <w:rFonts w:hint="eastAsia"/>
                <w:color w:val="0000E1"/>
                <w:sz w:val="28"/>
                <w:szCs w:val="28"/>
              </w:rPr>
              <w:t>/a</w:t>
            </w:r>
            <w:r>
              <w:rPr>
                <w:rFonts w:hint="eastAsia"/>
                <w:color w:val="0000E1"/>
                <w:sz w:val="28"/>
                <w:szCs w:val="28"/>
                <w:lang w:eastAsia="zh-CN"/>
              </w:rPr>
              <w:t>，产品规格为</w:t>
            </w:r>
            <w:r>
              <w:rPr>
                <w:rFonts w:hint="eastAsia"/>
                <w:color w:val="0000E1"/>
                <w:sz w:val="28"/>
                <w:szCs w:val="28"/>
                <w:lang w:val="en-US" w:eastAsia="zh-CN"/>
              </w:rPr>
              <w:t>6×1.2×0.062m</w:t>
            </w:r>
            <w:r>
              <w:rPr>
                <w:rFonts w:hint="eastAsia"/>
                <w:color w:val="0000E1"/>
                <w:sz w:val="28"/>
                <w:szCs w:val="28"/>
                <w:lang w:eastAsia="zh-CN"/>
              </w:rPr>
              <w:t>。</w:t>
            </w:r>
          </w:p>
          <w:p>
            <w:pPr>
              <w:adjustRightInd w:val="0"/>
              <w:snapToGrid w:val="0"/>
              <w:spacing w:line="520" w:lineRule="exact"/>
              <w:ind w:firstLine="560" w:firstLineChars="200"/>
              <w:rPr>
                <w:color w:val="auto"/>
                <w:sz w:val="28"/>
                <w:szCs w:val="28"/>
              </w:rPr>
            </w:pPr>
            <w:r>
              <w:rPr>
                <w:rFonts w:hint="eastAsia"/>
                <w:color w:val="auto"/>
                <w:sz w:val="28"/>
                <w:szCs w:val="28"/>
              </w:rPr>
              <w:t>项目主要建设内容包括苯板生产车间、配套生活办公综合区、锅炉房、仓库等，生产设备的购置。其中苯板生产车间、配套生活办公综合区、锅炉房等已于2017年建成，</w:t>
            </w:r>
            <w:r>
              <w:rPr>
                <w:rFonts w:hint="eastAsia"/>
                <w:color w:val="auto"/>
                <w:sz w:val="28"/>
                <w:szCs w:val="28"/>
                <w:lang w:eastAsia="zh-CN"/>
              </w:rPr>
              <w:t>办公楼及</w:t>
            </w:r>
            <w:r>
              <w:rPr>
                <w:rFonts w:hint="eastAsia"/>
                <w:color w:val="auto"/>
                <w:sz w:val="28"/>
                <w:szCs w:val="28"/>
              </w:rPr>
              <w:t>仓库设施</w:t>
            </w:r>
            <w:r>
              <w:rPr>
                <w:rFonts w:hint="eastAsia"/>
                <w:color w:val="auto"/>
                <w:sz w:val="28"/>
                <w:szCs w:val="28"/>
                <w:lang w:eastAsia="zh-CN"/>
              </w:rPr>
              <w:t>未建</w:t>
            </w:r>
            <w:r>
              <w:rPr>
                <w:rFonts w:hint="eastAsia"/>
                <w:color w:val="auto"/>
                <w:sz w:val="28"/>
                <w:szCs w:val="28"/>
              </w:rPr>
              <w:t>。</w:t>
            </w:r>
          </w:p>
          <w:p>
            <w:pPr>
              <w:adjustRightInd w:val="0"/>
              <w:snapToGrid w:val="0"/>
              <w:spacing w:line="520" w:lineRule="exact"/>
              <w:ind w:firstLine="560" w:firstLineChars="200"/>
              <w:rPr>
                <w:bCs/>
                <w:color w:val="auto"/>
                <w:sz w:val="28"/>
                <w:szCs w:val="28"/>
              </w:rPr>
            </w:pPr>
            <w:r>
              <w:rPr>
                <w:rFonts w:hint="eastAsia"/>
                <w:bCs/>
                <w:color w:val="auto"/>
                <w:sz w:val="28"/>
                <w:szCs w:val="28"/>
              </w:rPr>
              <w:t>其主要的</w:t>
            </w:r>
            <w:r>
              <w:rPr>
                <w:bCs/>
                <w:color w:val="auto"/>
                <w:sz w:val="28"/>
                <w:szCs w:val="28"/>
              </w:rPr>
              <w:t>项目组成详见表</w:t>
            </w:r>
            <w:r>
              <w:rPr>
                <w:rFonts w:hint="eastAsia"/>
                <w:bCs/>
                <w:color w:val="auto"/>
                <w:sz w:val="28"/>
                <w:szCs w:val="28"/>
              </w:rPr>
              <w:t>3</w:t>
            </w:r>
            <w:r>
              <w:rPr>
                <w:bCs/>
                <w:color w:val="auto"/>
                <w:sz w:val="28"/>
                <w:szCs w:val="28"/>
              </w:rPr>
              <w:t>。</w:t>
            </w:r>
            <w:r>
              <w:rPr>
                <w:rFonts w:hint="eastAsia"/>
                <w:bCs/>
                <w:color w:val="auto"/>
                <w:sz w:val="28"/>
                <w:szCs w:val="28"/>
              </w:rPr>
              <w:t>项目主要生产设备一览表见表4。</w:t>
            </w:r>
          </w:p>
          <w:p>
            <w:pPr>
              <w:ind w:firstLine="480" w:firstLineChars="200"/>
              <w:rPr>
                <w:rFonts w:eastAsia="黑体"/>
                <w:bCs/>
                <w:color w:val="auto"/>
                <w:sz w:val="24"/>
              </w:rPr>
            </w:pPr>
            <w:r>
              <w:rPr>
                <w:rFonts w:eastAsia="黑体"/>
                <w:bCs/>
                <w:color w:val="auto"/>
                <w:sz w:val="24"/>
              </w:rPr>
              <w:t>表</w:t>
            </w:r>
            <w:r>
              <w:rPr>
                <w:rFonts w:hint="eastAsia" w:eastAsia="黑体"/>
                <w:bCs/>
                <w:color w:val="auto"/>
                <w:sz w:val="24"/>
              </w:rPr>
              <w:t>3</w:t>
            </w:r>
            <w:r>
              <w:rPr>
                <w:rFonts w:eastAsia="黑体"/>
                <w:bCs/>
                <w:color w:val="auto"/>
                <w:sz w:val="24"/>
              </w:rPr>
              <w:t xml:space="preserve">                     项目组成表</w:t>
            </w:r>
          </w:p>
          <w:tbl>
            <w:tblPr>
              <w:tblStyle w:val="18"/>
              <w:tblW w:w="4998"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496"/>
              <w:gridCol w:w="769"/>
              <w:gridCol w:w="1401"/>
              <w:gridCol w:w="4398"/>
              <w:gridCol w:w="700"/>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41" w:hRule="atLeast"/>
                <w:jc w:val="center"/>
              </w:trPr>
              <w:tc>
                <w:tcPr>
                  <w:tcW w:w="492" w:type="dxa"/>
                  <w:vAlign w:val="center"/>
                </w:tcPr>
                <w:p>
                  <w:pPr>
                    <w:jc w:val="center"/>
                    <w:rPr>
                      <w:bCs/>
                      <w:color w:val="auto"/>
                      <w:szCs w:val="21"/>
                    </w:rPr>
                  </w:pPr>
                  <w:r>
                    <w:rPr>
                      <w:bCs/>
                      <w:color w:val="auto"/>
                      <w:szCs w:val="21"/>
                    </w:rPr>
                    <w:t>序号</w:t>
                  </w:r>
                </w:p>
              </w:tc>
              <w:tc>
                <w:tcPr>
                  <w:tcW w:w="763" w:type="dxa"/>
                  <w:vAlign w:val="center"/>
                </w:tcPr>
                <w:p>
                  <w:pPr>
                    <w:jc w:val="center"/>
                    <w:rPr>
                      <w:bCs/>
                      <w:color w:val="auto"/>
                      <w:szCs w:val="21"/>
                    </w:rPr>
                  </w:pPr>
                  <w:r>
                    <w:rPr>
                      <w:bCs/>
                      <w:color w:val="auto"/>
                      <w:szCs w:val="21"/>
                    </w:rPr>
                    <w:t>工程类别</w:t>
                  </w:r>
                </w:p>
              </w:tc>
              <w:tc>
                <w:tcPr>
                  <w:tcW w:w="5752" w:type="dxa"/>
                  <w:gridSpan w:val="2"/>
                  <w:tcBorders>
                    <w:right w:val="single" w:color="auto" w:sz="4" w:space="0"/>
                  </w:tcBorders>
                  <w:vAlign w:val="center"/>
                </w:tcPr>
                <w:p>
                  <w:pPr>
                    <w:jc w:val="center"/>
                    <w:rPr>
                      <w:bCs/>
                      <w:color w:val="auto"/>
                      <w:szCs w:val="21"/>
                    </w:rPr>
                  </w:pPr>
                  <w:r>
                    <w:rPr>
                      <w:bCs/>
                      <w:color w:val="auto"/>
                      <w:szCs w:val="21"/>
                    </w:rPr>
                    <w:t>主要建设内容</w:t>
                  </w:r>
                </w:p>
              </w:tc>
              <w:tc>
                <w:tcPr>
                  <w:tcW w:w="694" w:type="dxa"/>
                  <w:tcBorders>
                    <w:left w:val="single" w:color="auto" w:sz="4" w:space="0"/>
                    <w:right w:val="nil"/>
                  </w:tcBorders>
                  <w:vAlign w:val="center"/>
                </w:tcPr>
                <w:p>
                  <w:pPr>
                    <w:jc w:val="center"/>
                    <w:rPr>
                      <w:bCs/>
                      <w:color w:val="auto"/>
                      <w:szCs w:val="21"/>
                    </w:rPr>
                  </w:pPr>
                  <w:r>
                    <w:rPr>
                      <w:bCs/>
                      <w:color w:val="auto"/>
                      <w:szCs w:val="21"/>
                    </w:rPr>
                    <w:t>备注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647" w:hRule="exact"/>
                <w:jc w:val="center"/>
              </w:trPr>
              <w:tc>
                <w:tcPr>
                  <w:tcW w:w="492" w:type="dxa"/>
                  <w:vAlign w:val="center"/>
                </w:tcPr>
                <w:p>
                  <w:pPr>
                    <w:jc w:val="center"/>
                    <w:rPr>
                      <w:bCs/>
                      <w:color w:val="auto"/>
                      <w:szCs w:val="21"/>
                    </w:rPr>
                  </w:pPr>
                  <w:r>
                    <w:rPr>
                      <w:bCs/>
                      <w:color w:val="auto"/>
                      <w:szCs w:val="21"/>
                    </w:rPr>
                    <w:t>1</w:t>
                  </w:r>
                </w:p>
              </w:tc>
              <w:tc>
                <w:tcPr>
                  <w:tcW w:w="763" w:type="dxa"/>
                  <w:vAlign w:val="center"/>
                </w:tcPr>
                <w:p>
                  <w:pPr>
                    <w:jc w:val="center"/>
                    <w:rPr>
                      <w:bCs/>
                      <w:color w:val="auto"/>
                      <w:szCs w:val="21"/>
                    </w:rPr>
                  </w:pPr>
                  <w:r>
                    <w:rPr>
                      <w:bCs/>
                      <w:color w:val="auto"/>
                      <w:szCs w:val="21"/>
                    </w:rPr>
                    <w:t>主体工程</w:t>
                  </w:r>
                </w:p>
              </w:tc>
              <w:tc>
                <w:tcPr>
                  <w:tcW w:w="1390" w:type="dxa"/>
                  <w:vAlign w:val="center"/>
                </w:tcPr>
                <w:p>
                  <w:pPr>
                    <w:jc w:val="center"/>
                    <w:rPr>
                      <w:bCs/>
                      <w:color w:val="auto"/>
                      <w:szCs w:val="21"/>
                    </w:rPr>
                  </w:pPr>
                  <w:r>
                    <w:rPr>
                      <w:rFonts w:hint="eastAsia"/>
                      <w:color w:val="auto"/>
                      <w:szCs w:val="21"/>
                    </w:rPr>
                    <w:t>生产车间</w:t>
                  </w:r>
                </w:p>
              </w:tc>
              <w:tc>
                <w:tcPr>
                  <w:tcW w:w="4362" w:type="dxa"/>
                  <w:tcBorders>
                    <w:right w:val="single" w:color="auto" w:sz="4" w:space="0"/>
                  </w:tcBorders>
                  <w:vAlign w:val="center"/>
                </w:tcPr>
                <w:p>
                  <w:pPr>
                    <w:jc w:val="center"/>
                    <w:rPr>
                      <w:bCs/>
                      <w:color w:val="auto"/>
                      <w:szCs w:val="21"/>
                    </w:rPr>
                  </w:pPr>
                  <w:r>
                    <w:rPr>
                      <w:rFonts w:hint="eastAsia"/>
                      <w:bCs/>
                      <w:color w:val="auto"/>
                      <w:szCs w:val="21"/>
                    </w:rPr>
                    <w:t>位于厂区西南侧</w:t>
                  </w:r>
                  <w:r>
                    <w:rPr>
                      <w:bCs/>
                      <w:color w:val="auto"/>
                      <w:szCs w:val="21"/>
                    </w:rPr>
                    <w:t>，</w:t>
                  </w:r>
                  <w:r>
                    <w:rPr>
                      <w:rFonts w:hint="eastAsia"/>
                      <w:bCs/>
                      <w:color w:val="auto"/>
                      <w:szCs w:val="21"/>
                    </w:rPr>
                    <w:t>占地为800</w:t>
                  </w:r>
                  <w:r>
                    <w:rPr>
                      <w:bCs/>
                      <w:color w:val="auto"/>
                      <w:szCs w:val="21"/>
                    </w:rPr>
                    <w:t>m</w:t>
                  </w:r>
                  <w:r>
                    <w:rPr>
                      <w:rFonts w:hint="eastAsia"/>
                      <w:bCs/>
                      <w:color w:val="auto"/>
                      <w:szCs w:val="21"/>
                      <w:vertAlign w:val="superscript"/>
                    </w:rPr>
                    <w:t>2</w:t>
                  </w:r>
                  <w:r>
                    <w:rPr>
                      <w:rFonts w:hint="eastAsia"/>
                      <w:bCs/>
                      <w:color w:val="auto"/>
                      <w:szCs w:val="21"/>
                    </w:rPr>
                    <w:t>，内设预发泡车间、切割车间、成型车间</w:t>
                  </w:r>
                </w:p>
              </w:tc>
              <w:tc>
                <w:tcPr>
                  <w:tcW w:w="694" w:type="dxa"/>
                  <w:tcBorders>
                    <w:left w:val="single" w:color="auto" w:sz="4" w:space="0"/>
                    <w:right w:val="nil"/>
                  </w:tcBorders>
                  <w:vAlign w:val="center"/>
                </w:tcPr>
                <w:p>
                  <w:pPr>
                    <w:jc w:val="center"/>
                    <w:rPr>
                      <w:bCs/>
                      <w:color w:val="auto"/>
                      <w:szCs w:val="21"/>
                    </w:rPr>
                  </w:pPr>
                  <w:r>
                    <w:rPr>
                      <w:rFonts w:hint="eastAsia"/>
                      <w:bCs/>
                      <w:color w:val="auto"/>
                      <w:szCs w:val="21"/>
                    </w:rPr>
                    <w:t>已建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84" w:hRule="exact"/>
                <w:jc w:val="center"/>
              </w:trPr>
              <w:tc>
                <w:tcPr>
                  <w:tcW w:w="492" w:type="dxa"/>
                  <w:vMerge w:val="restart"/>
                  <w:vAlign w:val="center"/>
                </w:tcPr>
                <w:p>
                  <w:pPr>
                    <w:jc w:val="center"/>
                    <w:rPr>
                      <w:bCs/>
                      <w:color w:val="auto"/>
                      <w:szCs w:val="21"/>
                    </w:rPr>
                  </w:pPr>
                  <w:r>
                    <w:rPr>
                      <w:bCs/>
                      <w:color w:val="auto"/>
                      <w:szCs w:val="21"/>
                    </w:rPr>
                    <w:t>2</w:t>
                  </w:r>
                </w:p>
              </w:tc>
              <w:tc>
                <w:tcPr>
                  <w:tcW w:w="763" w:type="dxa"/>
                  <w:vMerge w:val="restart"/>
                  <w:vAlign w:val="center"/>
                </w:tcPr>
                <w:p>
                  <w:pPr>
                    <w:jc w:val="center"/>
                    <w:rPr>
                      <w:bCs/>
                      <w:color w:val="auto"/>
                      <w:szCs w:val="21"/>
                    </w:rPr>
                  </w:pPr>
                  <w:r>
                    <w:rPr>
                      <w:bCs/>
                      <w:color w:val="auto"/>
                      <w:szCs w:val="21"/>
                    </w:rPr>
                    <w:t>辅助工程</w:t>
                  </w:r>
                </w:p>
              </w:tc>
              <w:tc>
                <w:tcPr>
                  <w:tcW w:w="1390" w:type="dxa"/>
                  <w:vAlign w:val="center"/>
                </w:tcPr>
                <w:p>
                  <w:pPr>
                    <w:jc w:val="center"/>
                    <w:rPr>
                      <w:bCs/>
                      <w:color w:val="auto"/>
                      <w:szCs w:val="21"/>
                    </w:rPr>
                  </w:pPr>
                  <w:r>
                    <w:rPr>
                      <w:rFonts w:hint="eastAsia"/>
                      <w:bCs/>
                      <w:color w:val="auto"/>
                      <w:szCs w:val="21"/>
                    </w:rPr>
                    <w:t>锅炉房</w:t>
                  </w:r>
                </w:p>
              </w:tc>
              <w:tc>
                <w:tcPr>
                  <w:tcW w:w="4362" w:type="dxa"/>
                  <w:tcBorders>
                    <w:right w:val="single" w:color="auto" w:sz="4" w:space="0"/>
                  </w:tcBorders>
                  <w:vAlign w:val="center"/>
                </w:tcPr>
                <w:p>
                  <w:pPr>
                    <w:jc w:val="center"/>
                    <w:rPr>
                      <w:rFonts w:hint="eastAsia" w:eastAsia="宋体"/>
                      <w:bCs/>
                      <w:color w:val="auto"/>
                      <w:szCs w:val="21"/>
                      <w:lang w:eastAsia="zh-CN"/>
                    </w:rPr>
                  </w:pPr>
                  <w:r>
                    <w:rPr>
                      <w:rFonts w:hint="eastAsia"/>
                      <w:bCs/>
                      <w:color w:val="auto"/>
                      <w:szCs w:val="21"/>
                    </w:rPr>
                    <w:t>1座，50</w:t>
                  </w:r>
                  <w:r>
                    <w:rPr>
                      <w:bCs/>
                      <w:color w:val="auto"/>
                      <w:szCs w:val="21"/>
                    </w:rPr>
                    <w:t>m</w:t>
                  </w:r>
                  <w:r>
                    <w:rPr>
                      <w:bCs/>
                      <w:color w:val="auto"/>
                      <w:szCs w:val="21"/>
                      <w:vertAlign w:val="superscript"/>
                    </w:rPr>
                    <w:t>2</w:t>
                  </w:r>
                  <w:r>
                    <w:rPr>
                      <w:rFonts w:hint="eastAsia"/>
                      <w:bCs/>
                      <w:color w:val="auto"/>
                      <w:szCs w:val="21"/>
                    </w:rPr>
                    <w:t>，生物质锅炉</w:t>
                  </w:r>
                  <w:r>
                    <w:rPr>
                      <w:rFonts w:hint="eastAsia"/>
                      <w:bCs/>
                      <w:color w:val="auto"/>
                      <w:szCs w:val="21"/>
                      <w:lang w:eastAsia="zh-CN"/>
                    </w:rPr>
                    <w:t>（</w:t>
                  </w:r>
                  <w:r>
                    <w:rPr>
                      <w:rFonts w:hint="eastAsia"/>
                      <w:bCs/>
                      <w:color w:val="auto"/>
                      <w:szCs w:val="21"/>
                      <w:lang w:val="en-US" w:eastAsia="zh-CN"/>
                    </w:rPr>
                    <w:t>3t/h</w:t>
                  </w:r>
                  <w:r>
                    <w:rPr>
                      <w:rFonts w:hint="eastAsia"/>
                      <w:bCs/>
                      <w:color w:val="auto"/>
                      <w:szCs w:val="21"/>
                      <w:lang w:eastAsia="zh-CN"/>
                    </w:rPr>
                    <w:t>）</w:t>
                  </w:r>
                </w:p>
              </w:tc>
              <w:tc>
                <w:tcPr>
                  <w:tcW w:w="694" w:type="dxa"/>
                  <w:tcBorders>
                    <w:left w:val="single" w:color="auto" w:sz="4" w:space="0"/>
                    <w:right w:val="nil"/>
                  </w:tcBorders>
                  <w:vAlign w:val="center"/>
                </w:tcPr>
                <w:p>
                  <w:pPr>
                    <w:jc w:val="center"/>
                    <w:rPr>
                      <w:bCs/>
                      <w:color w:val="auto"/>
                      <w:szCs w:val="21"/>
                    </w:rPr>
                  </w:pPr>
                  <w:r>
                    <w:rPr>
                      <w:rFonts w:hint="eastAsia"/>
                      <w:bCs/>
                      <w:color w:val="auto"/>
                      <w:szCs w:val="21"/>
                    </w:rPr>
                    <w:t>已建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4" w:hRule="exac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rFonts w:hint="eastAsia" w:eastAsia="宋体"/>
                      <w:bCs/>
                      <w:color w:val="auto"/>
                      <w:szCs w:val="21"/>
                      <w:lang w:eastAsia="zh-CN"/>
                    </w:rPr>
                  </w:pPr>
                  <w:r>
                    <w:rPr>
                      <w:rFonts w:hint="eastAsia"/>
                      <w:bCs/>
                      <w:color w:val="auto"/>
                      <w:szCs w:val="21"/>
                    </w:rPr>
                    <w:t>办公</w:t>
                  </w:r>
                  <w:r>
                    <w:rPr>
                      <w:rFonts w:hint="eastAsia"/>
                      <w:bCs/>
                      <w:color w:val="auto"/>
                      <w:szCs w:val="21"/>
                      <w:lang w:eastAsia="zh-CN"/>
                    </w:rPr>
                    <w:t>楼</w:t>
                  </w:r>
                </w:p>
              </w:tc>
              <w:tc>
                <w:tcPr>
                  <w:tcW w:w="4362" w:type="dxa"/>
                  <w:tcBorders>
                    <w:right w:val="single" w:color="auto" w:sz="4" w:space="0"/>
                  </w:tcBorders>
                  <w:vAlign w:val="center"/>
                </w:tcPr>
                <w:p>
                  <w:pPr>
                    <w:jc w:val="center"/>
                    <w:rPr>
                      <w:bCs/>
                      <w:color w:val="auto"/>
                      <w:szCs w:val="21"/>
                      <w:vertAlign w:val="superscript"/>
                    </w:rPr>
                  </w:pPr>
                  <w:r>
                    <w:rPr>
                      <w:rFonts w:hint="eastAsia"/>
                      <w:bCs/>
                      <w:color w:val="auto"/>
                      <w:szCs w:val="21"/>
                      <w:lang w:val="en-US" w:eastAsia="zh-CN"/>
                    </w:rPr>
                    <w:t>2F，252</w:t>
                  </w:r>
                  <w:r>
                    <w:rPr>
                      <w:rFonts w:hint="eastAsia"/>
                      <w:bCs/>
                      <w:color w:val="auto"/>
                      <w:szCs w:val="21"/>
                    </w:rPr>
                    <w:t>m</w:t>
                  </w:r>
                  <w:r>
                    <w:rPr>
                      <w:rFonts w:hint="eastAsia"/>
                      <w:bCs/>
                      <w:color w:val="auto"/>
                      <w:szCs w:val="21"/>
                      <w:vertAlign w:val="superscript"/>
                    </w:rPr>
                    <w:t>2</w:t>
                  </w:r>
                </w:p>
              </w:tc>
              <w:tc>
                <w:tcPr>
                  <w:tcW w:w="694" w:type="dxa"/>
                  <w:tcBorders>
                    <w:left w:val="single" w:color="auto" w:sz="4" w:space="0"/>
                    <w:right w:val="nil"/>
                  </w:tcBorders>
                  <w:vAlign w:val="center"/>
                </w:tcPr>
                <w:p>
                  <w:pPr>
                    <w:jc w:val="center"/>
                    <w:rPr>
                      <w:bCs/>
                      <w:color w:val="auto"/>
                      <w:szCs w:val="21"/>
                    </w:rPr>
                  </w:pPr>
                  <w:r>
                    <w:rPr>
                      <w:rFonts w:hint="eastAsia"/>
                      <w:bCs/>
                      <w:color w:val="auto"/>
                      <w:szCs w:val="21"/>
                      <w:lang w:eastAsia="zh-CN"/>
                    </w:rPr>
                    <w:t>未</w:t>
                  </w:r>
                  <w:r>
                    <w:rPr>
                      <w:rFonts w:hint="eastAsia"/>
                      <w:bCs/>
                      <w:color w:val="auto"/>
                      <w:szCs w:val="21"/>
                    </w:rPr>
                    <w:t>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85" w:hRule="exact"/>
                <w:jc w:val="center"/>
              </w:trPr>
              <w:tc>
                <w:tcPr>
                  <w:tcW w:w="492" w:type="dxa"/>
                  <w:vAlign w:val="center"/>
                </w:tcPr>
                <w:p>
                  <w:pPr>
                    <w:jc w:val="center"/>
                    <w:rPr>
                      <w:bCs/>
                      <w:color w:val="auto"/>
                      <w:szCs w:val="21"/>
                    </w:rPr>
                  </w:pPr>
                  <w:r>
                    <w:rPr>
                      <w:bCs/>
                      <w:color w:val="auto"/>
                      <w:szCs w:val="21"/>
                    </w:rPr>
                    <w:t>3</w:t>
                  </w:r>
                </w:p>
              </w:tc>
              <w:tc>
                <w:tcPr>
                  <w:tcW w:w="763" w:type="dxa"/>
                  <w:vMerge w:val="restart"/>
                  <w:vAlign w:val="center"/>
                </w:tcPr>
                <w:p>
                  <w:pPr>
                    <w:jc w:val="center"/>
                    <w:rPr>
                      <w:bCs/>
                      <w:color w:val="auto"/>
                      <w:szCs w:val="21"/>
                    </w:rPr>
                  </w:pPr>
                  <w:r>
                    <w:rPr>
                      <w:rFonts w:hint="eastAsia"/>
                      <w:bCs/>
                      <w:color w:val="auto"/>
                      <w:szCs w:val="21"/>
                    </w:rPr>
                    <w:t>储运工程</w:t>
                  </w:r>
                </w:p>
              </w:tc>
              <w:tc>
                <w:tcPr>
                  <w:tcW w:w="1390" w:type="dxa"/>
                  <w:vAlign w:val="center"/>
                </w:tcPr>
                <w:p>
                  <w:pPr>
                    <w:jc w:val="center"/>
                    <w:rPr>
                      <w:bCs/>
                      <w:color w:val="auto"/>
                      <w:szCs w:val="21"/>
                    </w:rPr>
                  </w:pPr>
                  <w:r>
                    <w:rPr>
                      <w:rFonts w:hint="eastAsia"/>
                      <w:bCs/>
                      <w:color w:val="auto"/>
                      <w:szCs w:val="21"/>
                      <w:lang w:eastAsia="zh-CN"/>
                    </w:rPr>
                    <w:t>成品</w:t>
                  </w:r>
                  <w:r>
                    <w:rPr>
                      <w:rFonts w:hint="eastAsia"/>
                      <w:bCs/>
                      <w:color w:val="auto"/>
                      <w:szCs w:val="21"/>
                    </w:rPr>
                    <w:t>仓库</w:t>
                  </w:r>
                </w:p>
              </w:tc>
              <w:tc>
                <w:tcPr>
                  <w:tcW w:w="4362" w:type="dxa"/>
                  <w:tcBorders>
                    <w:right w:val="single" w:color="auto" w:sz="4" w:space="0"/>
                  </w:tcBorders>
                  <w:vAlign w:val="center"/>
                </w:tcPr>
                <w:p>
                  <w:pPr>
                    <w:jc w:val="center"/>
                    <w:rPr>
                      <w:bCs/>
                      <w:color w:val="auto"/>
                      <w:szCs w:val="21"/>
                      <w:vertAlign w:val="superscript"/>
                    </w:rPr>
                  </w:pPr>
                  <w:r>
                    <w:rPr>
                      <w:rFonts w:hint="eastAsia"/>
                      <w:bCs/>
                      <w:color w:val="auto"/>
                      <w:szCs w:val="21"/>
                      <w:lang w:eastAsia="zh-CN"/>
                    </w:rPr>
                    <w:t>彩钢板结构仓库</w:t>
                  </w:r>
                  <w:r>
                    <w:rPr>
                      <w:rFonts w:hint="eastAsia"/>
                      <w:bCs/>
                      <w:color w:val="auto"/>
                      <w:szCs w:val="21"/>
                    </w:rPr>
                    <w:t>1间，600m</w:t>
                  </w:r>
                  <w:r>
                    <w:rPr>
                      <w:rFonts w:hint="eastAsia"/>
                      <w:bCs/>
                      <w:color w:val="auto"/>
                      <w:szCs w:val="21"/>
                      <w:vertAlign w:val="superscript"/>
                    </w:rPr>
                    <w:t>2</w:t>
                  </w:r>
                </w:p>
              </w:tc>
              <w:tc>
                <w:tcPr>
                  <w:tcW w:w="694" w:type="dxa"/>
                  <w:tcBorders>
                    <w:left w:val="single" w:color="auto" w:sz="4" w:space="0"/>
                    <w:right w:val="nil"/>
                  </w:tcBorders>
                  <w:vAlign w:val="center"/>
                </w:tcPr>
                <w:p>
                  <w:pPr>
                    <w:jc w:val="center"/>
                    <w:rPr>
                      <w:bCs/>
                      <w:color w:val="auto"/>
                      <w:szCs w:val="21"/>
                    </w:rPr>
                  </w:pPr>
                  <w:r>
                    <w:rPr>
                      <w:rFonts w:hint="eastAsia"/>
                      <w:bCs/>
                      <w:color w:val="auto"/>
                      <w:szCs w:val="21"/>
                      <w:lang w:eastAsia="zh-CN"/>
                    </w:rPr>
                    <w:t>未</w:t>
                  </w:r>
                  <w:r>
                    <w:rPr>
                      <w:rFonts w:hint="eastAsia"/>
                      <w:bCs/>
                      <w:color w:val="auto"/>
                      <w:szCs w:val="21"/>
                    </w:rPr>
                    <w:t>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85" w:hRule="exact"/>
                <w:jc w:val="center"/>
              </w:trPr>
              <w:tc>
                <w:tcPr>
                  <w:tcW w:w="492" w:type="dxa"/>
                  <w:vAlign w:val="center"/>
                </w:tcPr>
                <w:p>
                  <w:pPr>
                    <w:jc w:val="center"/>
                    <w:rPr>
                      <w:rFonts w:hint="eastAsia" w:eastAsia="宋体"/>
                      <w:bCs/>
                      <w:color w:val="auto"/>
                      <w:szCs w:val="21"/>
                      <w:lang w:val="en-US" w:eastAsia="zh-CN"/>
                    </w:rPr>
                  </w:pPr>
                  <w:r>
                    <w:rPr>
                      <w:rFonts w:hint="eastAsia"/>
                      <w:bCs/>
                      <w:color w:val="auto"/>
                      <w:szCs w:val="21"/>
                      <w:lang w:val="en-US" w:eastAsia="zh-CN"/>
                    </w:rPr>
                    <w:t>4</w:t>
                  </w: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rFonts w:hint="eastAsia"/>
                      <w:bCs/>
                      <w:color w:val="auto"/>
                      <w:szCs w:val="21"/>
                    </w:rPr>
                    <w:t>原料堆场</w:t>
                  </w:r>
                </w:p>
              </w:tc>
              <w:tc>
                <w:tcPr>
                  <w:tcW w:w="4362" w:type="dxa"/>
                  <w:tcBorders>
                    <w:right w:val="single" w:color="auto" w:sz="4" w:space="0"/>
                  </w:tcBorders>
                  <w:vAlign w:val="center"/>
                </w:tcPr>
                <w:p>
                  <w:pPr>
                    <w:jc w:val="center"/>
                    <w:rPr>
                      <w:bCs/>
                      <w:color w:val="auto"/>
                      <w:szCs w:val="21"/>
                    </w:rPr>
                  </w:pPr>
                  <w:r>
                    <w:rPr>
                      <w:rFonts w:hint="eastAsia"/>
                      <w:bCs/>
                      <w:color w:val="auto"/>
                      <w:szCs w:val="21"/>
                    </w:rPr>
                    <w:t>30m</w:t>
                  </w:r>
                  <w:r>
                    <w:rPr>
                      <w:rFonts w:hint="eastAsia"/>
                      <w:bCs/>
                      <w:color w:val="auto"/>
                      <w:szCs w:val="21"/>
                      <w:vertAlign w:val="superscript"/>
                    </w:rPr>
                    <w:t>2</w:t>
                  </w:r>
                  <w:r>
                    <w:rPr>
                      <w:rFonts w:hint="eastAsia"/>
                      <w:bCs/>
                      <w:color w:val="auto"/>
                      <w:szCs w:val="21"/>
                    </w:rPr>
                    <w:t>（地面硬化，露天堆放采取苫盖措施）</w:t>
                  </w:r>
                </w:p>
              </w:tc>
              <w:tc>
                <w:tcPr>
                  <w:tcW w:w="694" w:type="dxa"/>
                  <w:tcBorders>
                    <w:left w:val="single" w:color="auto" w:sz="4" w:space="0"/>
                    <w:right w:val="nil"/>
                  </w:tcBorders>
                  <w:vAlign w:val="center"/>
                </w:tcPr>
                <w:p>
                  <w:pPr>
                    <w:jc w:val="center"/>
                    <w:rPr>
                      <w:bCs/>
                      <w:color w:val="auto"/>
                      <w:szCs w:val="21"/>
                    </w:rPr>
                  </w:pPr>
                  <w:r>
                    <w:rPr>
                      <w:rFonts w:hint="eastAsia"/>
                      <w:bCs/>
                      <w:color w:val="auto"/>
                      <w:szCs w:val="21"/>
                    </w:rPr>
                    <w:t>已建</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92" w:type="dxa"/>
                  <w:vMerge w:val="restart"/>
                  <w:vAlign w:val="center"/>
                </w:tcPr>
                <w:p>
                  <w:pPr>
                    <w:jc w:val="center"/>
                    <w:rPr>
                      <w:rFonts w:hint="eastAsia" w:eastAsia="宋体"/>
                      <w:bCs/>
                      <w:color w:val="auto"/>
                      <w:szCs w:val="21"/>
                      <w:lang w:eastAsia="zh-CN"/>
                    </w:rPr>
                  </w:pPr>
                  <w:r>
                    <w:rPr>
                      <w:rFonts w:hint="eastAsia"/>
                      <w:bCs/>
                      <w:color w:val="auto"/>
                      <w:szCs w:val="21"/>
                      <w:lang w:val="en-US" w:eastAsia="zh-CN"/>
                    </w:rPr>
                    <w:t>5</w:t>
                  </w:r>
                </w:p>
              </w:tc>
              <w:tc>
                <w:tcPr>
                  <w:tcW w:w="763" w:type="dxa"/>
                  <w:vMerge w:val="restart"/>
                  <w:vAlign w:val="center"/>
                </w:tcPr>
                <w:p>
                  <w:pPr>
                    <w:jc w:val="center"/>
                    <w:rPr>
                      <w:bCs/>
                      <w:color w:val="auto"/>
                      <w:szCs w:val="21"/>
                    </w:rPr>
                  </w:pPr>
                  <w:r>
                    <w:rPr>
                      <w:bCs/>
                      <w:color w:val="auto"/>
                      <w:szCs w:val="21"/>
                    </w:rPr>
                    <w:t>公用工程</w:t>
                  </w:r>
                </w:p>
              </w:tc>
              <w:tc>
                <w:tcPr>
                  <w:tcW w:w="1390" w:type="dxa"/>
                  <w:vAlign w:val="center"/>
                </w:tcPr>
                <w:p>
                  <w:pPr>
                    <w:jc w:val="center"/>
                    <w:rPr>
                      <w:bCs/>
                      <w:color w:val="auto"/>
                      <w:szCs w:val="21"/>
                    </w:rPr>
                  </w:pPr>
                  <w:r>
                    <w:rPr>
                      <w:bCs/>
                      <w:color w:val="auto"/>
                      <w:szCs w:val="21"/>
                    </w:rPr>
                    <w:t>供</w:t>
                  </w:r>
                  <w:r>
                    <w:rPr>
                      <w:rFonts w:hint="eastAsia"/>
                      <w:bCs/>
                      <w:color w:val="auto"/>
                      <w:szCs w:val="21"/>
                    </w:rPr>
                    <w:t>电</w:t>
                  </w:r>
                </w:p>
              </w:tc>
              <w:tc>
                <w:tcPr>
                  <w:tcW w:w="4362" w:type="dxa"/>
                  <w:tcBorders>
                    <w:right w:val="single" w:color="auto" w:sz="4" w:space="0"/>
                  </w:tcBorders>
                  <w:vAlign w:val="center"/>
                </w:tcPr>
                <w:p>
                  <w:pPr>
                    <w:jc w:val="center"/>
                    <w:rPr>
                      <w:bCs/>
                      <w:color w:val="auto"/>
                      <w:szCs w:val="21"/>
                    </w:rPr>
                  </w:pPr>
                  <w:r>
                    <w:rPr>
                      <w:rFonts w:hint="eastAsia"/>
                      <w:bCs/>
                      <w:color w:val="auto"/>
                      <w:szCs w:val="21"/>
                    </w:rPr>
                    <w:t>由巩留县市政供电统一供给，满足项目用电需求</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rFonts w:hint="eastAsia"/>
                      <w:bCs/>
                      <w:color w:val="auto"/>
                      <w:szCs w:val="21"/>
                    </w:rPr>
                    <w:t>供暖</w:t>
                  </w:r>
                </w:p>
              </w:tc>
              <w:tc>
                <w:tcPr>
                  <w:tcW w:w="4362" w:type="dxa"/>
                  <w:tcBorders>
                    <w:right w:val="single" w:color="auto" w:sz="4" w:space="0"/>
                  </w:tcBorders>
                  <w:vAlign w:val="center"/>
                </w:tcPr>
                <w:p>
                  <w:pPr>
                    <w:jc w:val="center"/>
                    <w:rPr>
                      <w:bCs/>
                      <w:color w:val="auto"/>
                      <w:szCs w:val="21"/>
                    </w:rPr>
                  </w:pPr>
                  <w:r>
                    <w:rPr>
                      <w:rFonts w:hint="eastAsia"/>
                      <w:bCs/>
                      <w:color w:val="auto"/>
                      <w:szCs w:val="21"/>
                    </w:rPr>
                    <w:t>厂区冬季不生产，没有供暖设施，苯板生产供热及水蒸气均由场内自建生物质锅炉提供</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79"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bCs/>
                      <w:color w:val="auto"/>
                      <w:szCs w:val="21"/>
                    </w:rPr>
                    <w:t>供</w:t>
                  </w:r>
                  <w:r>
                    <w:rPr>
                      <w:rFonts w:hint="eastAsia"/>
                      <w:bCs/>
                      <w:color w:val="auto"/>
                      <w:szCs w:val="21"/>
                    </w:rPr>
                    <w:t>水</w:t>
                  </w:r>
                </w:p>
              </w:tc>
              <w:tc>
                <w:tcPr>
                  <w:tcW w:w="4362" w:type="dxa"/>
                  <w:tcBorders>
                    <w:right w:val="single" w:color="auto" w:sz="4" w:space="0"/>
                  </w:tcBorders>
                  <w:vAlign w:val="center"/>
                </w:tcPr>
                <w:p>
                  <w:pPr>
                    <w:jc w:val="center"/>
                    <w:rPr>
                      <w:bCs/>
                      <w:color w:val="auto"/>
                      <w:szCs w:val="21"/>
                    </w:rPr>
                  </w:pPr>
                  <w:r>
                    <w:rPr>
                      <w:rFonts w:hint="eastAsia"/>
                      <w:bCs/>
                      <w:color w:val="auto"/>
                      <w:szCs w:val="21"/>
                    </w:rPr>
                    <w:t>由巩留县市政供水管网统一供给，能满足项目用水需求</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20"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rFonts w:hint="eastAsia"/>
                      <w:bCs/>
                      <w:color w:val="auto"/>
                      <w:szCs w:val="21"/>
                    </w:rPr>
                    <w:t>排水</w:t>
                  </w:r>
                </w:p>
              </w:tc>
              <w:tc>
                <w:tcPr>
                  <w:tcW w:w="4362" w:type="dxa"/>
                  <w:tcBorders>
                    <w:right w:val="single" w:color="auto" w:sz="4" w:space="0"/>
                  </w:tcBorders>
                  <w:vAlign w:val="center"/>
                </w:tcPr>
                <w:p>
                  <w:pPr>
                    <w:jc w:val="center"/>
                    <w:rPr>
                      <w:bCs/>
                      <w:color w:val="auto"/>
                      <w:szCs w:val="21"/>
                    </w:rPr>
                  </w:pPr>
                  <w:r>
                    <w:rPr>
                      <w:rFonts w:hint="eastAsia"/>
                      <w:color w:val="auto"/>
                    </w:rPr>
                    <w:t>排入市政</w:t>
                  </w:r>
                  <w:r>
                    <w:rPr>
                      <w:rFonts w:hint="eastAsia"/>
                      <w:bCs/>
                      <w:color w:val="auto"/>
                      <w:szCs w:val="21"/>
                    </w:rPr>
                    <w:t>下水管网</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396" w:hRule="atLeast"/>
                <w:jc w:val="center"/>
              </w:trPr>
              <w:tc>
                <w:tcPr>
                  <w:tcW w:w="492" w:type="dxa"/>
                  <w:vMerge w:val="restart"/>
                  <w:vAlign w:val="center"/>
                </w:tcPr>
                <w:p>
                  <w:pPr>
                    <w:jc w:val="center"/>
                    <w:rPr>
                      <w:rFonts w:hint="eastAsia" w:eastAsia="宋体"/>
                      <w:bCs/>
                      <w:color w:val="auto"/>
                      <w:szCs w:val="21"/>
                      <w:lang w:eastAsia="zh-CN"/>
                    </w:rPr>
                  </w:pPr>
                  <w:r>
                    <w:rPr>
                      <w:rFonts w:hint="eastAsia"/>
                      <w:bCs/>
                      <w:color w:val="auto"/>
                      <w:szCs w:val="21"/>
                      <w:lang w:val="en-US" w:eastAsia="zh-CN"/>
                    </w:rPr>
                    <w:t>6</w:t>
                  </w:r>
                </w:p>
              </w:tc>
              <w:tc>
                <w:tcPr>
                  <w:tcW w:w="763" w:type="dxa"/>
                  <w:vMerge w:val="restart"/>
                  <w:vAlign w:val="center"/>
                </w:tcPr>
                <w:p>
                  <w:pPr>
                    <w:jc w:val="center"/>
                    <w:rPr>
                      <w:bCs/>
                      <w:color w:val="auto"/>
                      <w:szCs w:val="21"/>
                    </w:rPr>
                  </w:pPr>
                  <w:r>
                    <w:rPr>
                      <w:bCs/>
                      <w:color w:val="auto"/>
                      <w:szCs w:val="21"/>
                    </w:rPr>
                    <w:t>环保工程</w:t>
                  </w:r>
                </w:p>
              </w:tc>
              <w:tc>
                <w:tcPr>
                  <w:tcW w:w="1390" w:type="dxa"/>
                  <w:vAlign w:val="center"/>
                </w:tcPr>
                <w:p>
                  <w:pPr>
                    <w:jc w:val="center"/>
                    <w:rPr>
                      <w:bCs/>
                      <w:color w:val="auto"/>
                      <w:szCs w:val="21"/>
                    </w:rPr>
                  </w:pPr>
                  <w:r>
                    <w:rPr>
                      <w:bCs/>
                      <w:color w:val="auto"/>
                      <w:szCs w:val="21"/>
                    </w:rPr>
                    <w:t>废气</w:t>
                  </w:r>
                </w:p>
              </w:tc>
              <w:tc>
                <w:tcPr>
                  <w:tcW w:w="4362" w:type="dxa"/>
                  <w:tcBorders>
                    <w:right w:val="single" w:color="auto" w:sz="4" w:space="0"/>
                  </w:tcBorders>
                  <w:vAlign w:val="center"/>
                </w:tcPr>
                <w:p>
                  <w:pPr>
                    <w:jc w:val="center"/>
                    <w:rPr>
                      <w:bCs/>
                      <w:color w:val="auto"/>
                      <w:szCs w:val="21"/>
                    </w:rPr>
                  </w:pPr>
                  <w:r>
                    <w:rPr>
                      <w:rFonts w:hint="eastAsia"/>
                      <w:bCs/>
                      <w:color w:val="auto"/>
                      <w:szCs w:val="21"/>
                    </w:rPr>
                    <w:t>项目苯板加工过程产生的非甲烷总烃由光氧催化+活性炭吸附装置处理后经15m高排气筒排放；锅炉房一台生物质蒸汽锅炉安装一套布袋除尘器进行处理，经处理后的废气由1</w:t>
                  </w:r>
                  <w:r>
                    <w:rPr>
                      <w:rFonts w:hint="eastAsia"/>
                      <w:bCs/>
                      <w:color w:val="auto"/>
                      <w:szCs w:val="21"/>
                      <w:lang w:val="en-US" w:eastAsia="zh-CN"/>
                    </w:rPr>
                    <w:t>5</w:t>
                  </w:r>
                  <w:r>
                    <w:rPr>
                      <w:rFonts w:hint="eastAsia"/>
                      <w:bCs/>
                      <w:color w:val="auto"/>
                      <w:szCs w:val="21"/>
                    </w:rPr>
                    <w:t>m高排气筒排放</w:t>
                  </w:r>
                </w:p>
              </w:tc>
              <w:tc>
                <w:tcPr>
                  <w:tcW w:w="694" w:type="dxa"/>
                  <w:tcBorders>
                    <w:left w:val="single" w:color="auto" w:sz="4" w:space="0"/>
                    <w:right w:val="nil"/>
                  </w:tcBorders>
                  <w:vAlign w:val="center"/>
                </w:tcPr>
                <w:p>
                  <w:pPr>
                    <w:jc w:val="center"/>
                    <w:rPr>
                      <w:rFonts w:hint="eastAsia" w:eastAsia="宋体"/>
                      <w:bCs/>
                      <w:color w:val="auto"/>
                      <w:szCs w:val="21"/>
                      <w:lang w:eastAsia="zh-CN"/>
                    </w:rPr>
                  </w:pPr>
                  <w:r>
                    <w:rPr>
                      <w:rFonts w:hint="eastAsia"/>
                      <w:bCs/>
                      <w:color w:val="auto"/>
                      <w:szCs w:val="21"/>
                      <w:lang w:eastAsia="zh-CN"/>
                    </w:rPr>
                    <w:t>锅炉除尘设施已安装</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99"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bCs/>
                      <w:color w:val="auto"/>
                      <w:szCs w:val="21"/>
                    </w:rPr>
                    <w:t>废水</w:t>
                  </w:r>
                </w:p>
              </w:tc>
              <w:tc>
                <w:tcPr>
                  <w:tcW w:w="4362" w:type="dxa"/>
                  <w:tcBorders>
                    <w:right w:val="single" w:color="auto" w:sz="4" w:space="0"/>
                  </w:tcBorders>
                  <w:vAlign w:val="center"/>
                </w:tcPr>
                <w:p>
                  <w:pPr>
                    <w:jc w:val="center"/>
                    <w:rPr>
                      <w:bCs/>
                      <w:color w:val="auto"/>
                      <w:szCs w:val="21"/>
                    </w:rPr>
                  </w:pPr>
                  <w:r>
                    <w:rPr>
                      <w:rFonts w:hint="eastAsia"/>
                      <w:bCs/>
                      <w:color w:val="auto"/>
                      <w:szCs w:val="21"/>
                    </w:rPr>
                    <w:t>全厂敷设下水管网，与市政总排水管网接入</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50"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bCs/>
                      <w:color w:val="auto"/>
                      <w:szCs w:val="21"/>
                    </w:rPr>
                    <w:t>固废</w:t>
                  </w:r>
                </w:p>
              </w:tc>
              <w:tc>
                <w:tcPr>
                  <w:tcW w:w="4362" w:type="dxa"/>
                  <w:tcBorders>
                    <w:right w:val="single" w:color="auto" w:sz="4" w:space="0"/>
                  </w:tcBorders>
                  <w:vAlign w:val="center"/>
                </w:tcPr>
                <w:p>
                  <w:pPr>
                    <w:jc w:val="center"/>
                    <w:rPr>
                      <w:bCs/>
                      <w:color w:val="auto"/>
                      <w:szCs w:val="21"/>
                    </w:rPr>
                  </w:pPr>
                  <w:r>
                    <w:rPr>
                      <w:bCs/>
                      <w:color w:val="auto"/>
                      <w:szCs w:val="21"/>
                    </w:rPr>
                    <w:t>生活垃圾</w:t>
                  </w:r>
                  <w:r>
                    <w:rPr>
                      <w:rFonts w:hint="eastAsia"/>
                      <w:bCs/>
                      <w:color w:val="auto"/>
                      <w:szCs w:val="21"/>
                    </w:rPr>
                    <w:t>暂存于厂内垃圾箱，交由市政环卫部门统一处理；切割产生的边角余料暂存于厂内垃圾箱，由环卫部门统一处理；生物质锅炉产生炉灰用作农田肥料；危险废物暂存于危险废物暂存间，委托有资质单位处理</w:t>
                  </w:r>
                </w:p>
              </w:tc>
              <w:tc>
                <w:tcPr>
                  <w:tcW w:w="694" w:type="dxa"/>
                  <w:tcBorders>
                    <w:left w:val="single" w:color="auto" w:sz="4" w:space="0"/>
                    <w:right w:val="nil"/>
                  </w:tcBorders>
                  <w:vAlign w:val="center"/>
                </w:tcPr>
                <w:p>
                  <w:pPr>
                    <w:jc w:val="left"/>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51"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bCs/>
                      <w:color w:val="auto"/>
                      <w:szCs w:val="21"/>
                    </w:rPr>
                    <w:t>噪声</w:t>
                  </w:r>
                </w:p>
              </w:tc>
              <w:tc>
                <w:tcPr>
                  <w:tcW w:w="4362" w:type="dxa"/>
                  <w:tcBorders>
                    <w:right w:val="single" w:color="auto" w:sz="4" w:space="0"/>
                  </w:tcBorders>
                  <w:vAlign w:val="center"/>
                </w:tcPr>
                <w:p>
                  <w:pPr>
                    <w:jc w:val="center"/>
                    <w:rPr>
                      <w:bCs/>
                      <w:color w:val="auto"/>
                      <w:szCs w:val="21"/>
                    </w:rPr>
                  </w:pPr>
                  <w:r>
                    <w:rPr>
                      <w:rFonts w:hint="eastAsia"/>
                      <w:bCs/>
                      <w:color w:val="auto"/>
                      <w:szCs w:val="21"/>
                    </w:rPr>
                    <w:t>封闭车间，</w:t>
                  </w:r>
                  <w:r>
                    <w:rPr>
                      <w:bCs/>
                      <w:color w:val="auto"/>
                      <w:szCs w:val="21"/>
                    </w:rPr>
                    <w:t>基础减震，定期维护</w:t>
                  </w:r>
                </w:p>
              </w:tc>
              <w:tc>
                <w:tcPr>
                  <w:tcW w:w="694" w:type="dxa"/>
                  <w:tcBorders>
                    <w:left w:val="single" w:color="auto" w:sz="4" w:space="0"/>
                    <w:right w:val="nil"/>
                  </w:tcBorders>
                  <w:vAlign w:val="center"/>
                </w:tcPr>
                <w:p>
                  <w:pPr>
                    <w:jc w:val="center"/>
                    <w:rPr>
                      <w:bCs/>
                      <w:color w:val="auto"/>
                      <w:szCs w:val="21"/>
                    </w:rPr>
                  </w:pP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29" w:hRule="atLeast"/>
                <w:jc w:val="center"/>
              </w:trPr>
              <w:tc>
                <w:tcPr>
                  <w:tcW w:w="492" w:type="dxa"/>
                  <w:vMerge w:val="continue"/>
                  <w:vAlign w:val="center"/>
                </w:tcPr>
                <w:p>
                  <w:pPr>
                    <w:jc w:val="center"/>
                    <w:rPr>
                      <w:bCs/>
                      <w:color w:val="auto"/>
                      <w:szCs w:val="21"/>
                    </w:rPr>
                  </w:pPr>
                </w:p>
              </w:tc>
              <w:tc>
                <w:tcPr>
                  <w:tcW w:w="763" w:type="dxa"/>
                  <w:vMerge w:val="continue"/>
                  <w:vAlign w:val="center"/>
                </w:tcPr>
                <w:p>
                  <w:pPr>
                    <w:jc w:val="center"/>
                    <w:rPr>
                      <w:bCs/>
                      <w:color w:val="auto"/>
                      <w:szCs w:val="21"/>
                    </w:rPr>
                  </w:pPr>
                </w:p>
              </w:tc>
              <w:tc>
                <w:tcPr>
                  <w:tcW w:w="1390" w:type="dxa"/>
                  <w:vAlign w:val="center"/>
                </w:tcPr>
                <w:p>
                  <w:pPr>
                    <w:jc w:val="center"/>
                    <w:rPr>
                      <w:bCs/>
                      <w:color w:val="auto"/>
                      <w:szCs w:val="21"/>
                    </w:rPr>
                  </w:pPr>
                  <w:r>
                    <w:rPr>
                      <w:rFonts w:hint="eastAsia"/>
                      <w:bCs/>
                      <w:color w:val="auto"/>
                      <w:szCs w:val="21"/>
                    </w:rPr>
                    <w:t>危废暂存间</w:t>
                  </w:r>
                </w:p>
              </w:tc>
              <w:tc>
                <w:tcPr>
                  <w:tcW w:w="4362" w:type="dxa"/>
                  <w:tcBorders>
                    <w:right w:val="single" w:color="auto" w:sz="4" w:space="0"/>
                  </w:tcBorders>
                  <w:vAlign w:val="center"/>
                </w:tcPr>
                <w:p>
                  <w:pPr>
                    <w:jc w:val="center"/>
                    <w:rPr>
                      <w:bCs/>
                      <w:color w:val="auto"/>
                      <w:szCs w:val="21"/>
                    </w:rPr>
                  </w:pPr>
                  <w:r>
                    <w:rPr>
                      <w:rFonts w:hint="eastAsia"/>
                      <w:color w:val="auto"/>
                    </w:rPr>
                    <w:t>厂区设置危废暂存间，面积约为15m</w:t>
                  </w:r>
                  <w:r>
                    <w:rPr>
                      <w:rFonts w:hint="eastAsia"/>
                      <w:color w:val="auto"/>
                      <w:vertAlign w:val="superscript"/>
                    </w:rPr>
                    <w:t>2</w:t>
                  </w:r>
                  <w:r>
                    <w:rPr>
                      <w:rFonts w:hint="eastAsia"/>
                      <w:color w:val="auto"/>
                    </w:rPr>
                    <w:t>，内置防渗容器</w:t>
                  </w:r>
                </w:p>
              </w:tc>
              <w:tc>
                <w:tcPr>
                  <w:tcW w:w="694" w:type="dxa"/>
                  <w:tcBorders>
                    <w:left w:val="single" w:color="auto" w:sz="4" w:space="0"/>
                    <w:right w:val="nil"/>
                  </w:tcBorders>
                  <w:vAlign w:val="center"/>
                </w:tcPr>
                <w:p>
                  <w:pPr>
                    <w:jc w:val="center"/>
                    <w:rPr>
                      <w:bCs/>
                      <w:color w:val="auto"/>
                      <w:szCs w:val="21"/>
                    </w:rPr>
                  </w:pPr>
                </w:p>
              </w:tc>
            </w:tr>
          </w:tbl>
          <w:p>
            <w:pPr>
              <w:adjustRightInd w:val="0"/>
              <w:snapToGrid w:val="0"/>
              <w:ind w:firstLine="480" w:firstLineChars="200"/>
              <w:rPr>
                <w:bCs/>
                <w:color w:val="auto"/>
                <w:sz w:val="28"/>
                <w:szCs w:val="28"/>
              </w:rPr>
            </w:pPr>
            <w:r>
              <w:rPr>
                <w:rFonts w:eastAsia="黑体"/>
                <w:bCs/>
                <w:color w:val="auto"/>
                <w:sz w:val="24"/>
              </w:rPr>
              <w:t>表</w:t>
            </w:r>
            <w:r>
              <w:rPr>
                <w:rFonts w:hint="eastAsia" w:eastAsia="黑体"/>
                <w:bCs/>
                <w:color w:val="auto"/>
                <w:sz w:val="24"/>
              </w:rPr>
              <w:t>4</w:t>
            </w:r>
            <w:r>
              <w:rPr>
                <w:rFonts w:eastAsia="黑体"/>
                <w:bCs/>
                <w:color w:val="auto"/>
                <w:sz w:val="24"/>
              </w:rPr>
              <w:t xml:space="preserve">                     主要</w:t>
            </w:r>
            <w:r>
              <w:rPr>
                <w:rFonts w:hint="eastAsia" w:eastAsia="黑体"/>
                <w:bCs/>
                <w:color w:val="auto"/>
                <w:sz w:val="24"/>
              </w:rPr>
              <w:t>生产</w:t>
            </w:r>
            <w:r>
              <w:rPr>
                <w:rFonts w:eastAsia="黑体"/>
                <w:bCs/>
                <w:color w:val="auto"/>
                <w:sz w:val="24"/>
              </w:rPr>
              <w:t>设备一览表</w:t>
            </w:r>
          </w:p>
          <w:tbl>
            <w:tblPr>
              <w:tblStyle w:val="18"/>
              <w:tblW w:w="5000"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108" w:type="dxa"/>
                <w:bottom w:w="0" w:type="dxa"/>
                <w:right w:w="108" w:type="dxa"/>
              </w:tblCellMar>
            </w:tblPr>
            <w:tblGrid>
              <w:gridCol w:w="677"/>
              <w:gridCol w:w="2350"/>
              <w:gridCol w:w="1642"/>
              <w:gridCol w:w="883"/>
              <w:gridCol w:w="1124"/>
              <w:gridCol w:w="1091"/>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序号</w:t>
                  </w:r>
                </w:p>
              </w:tc>
              <w:tc>
                <w:tcPr>
                  <w:tcW w:w="2350" w:type="dxa"/>
                  <w:vAlign w:val="center"/>
                </w:tcPr>
                <w:p>
                  <w:pPr>
                    <w:adjustRightInd w:val="0"/>
                    <w:snapToGrid w:val="0"/>
                    <w:jc w:val="center"/>
                    <w:rPr>
                      <w:bCs/>
                      <w:color w:val="auto"/>
                      <w:szCs w:val="21"/>
                    </w:rPr>
                  </w:pPr>
                  <w:r>
                    <w:rPr>
                      <w:bCs/>
                      <w:color w:val="auto"/>
                      <w:szCs w:val="21"/>
                    </w:rPr>
                    <w:t>名称</w:t>
                  </w:r>
                </w:p>
              </w:tc>
              <w:tc>
                <w:tcPr>
                  <w:tcW w:w="1642" w:type="dxa"/>
                  <w:vAlign w:val="center"/>
                </w:tcPr>
                <w:p>
                  <w:pPr>
                    <w:adjustRightInd w:val="0"/>
                    <w:snapToGrid w:val="0"/>
                    <w:jc w:val="center"/>
                    <w:rPr>
                      <w:bCs/>
                      <w:color w:val="auto"/>
                      <w:szCs w:val="21"/>
                    </w:rPr>
                  </w:pPr>
                  <w:r>
                    <w:rPr>
                      <w:bCs/>
                      <w:color w:val="auto"/>
                      <w:szCs w:val="21"/>
                    </w:rPr>
                    <w:t>型号规格</w:t>
                  </w:r>
                </w:p>
              </w:tc>
              <w:tc>
                <w:tcPr>
                  <w:tcW w:w="883" w:type="dxa"/>
                  <w:vAlign w:val="center"/>
                </w:tcPr>
                <w:p>
                  <w:pPr>
                    <w:adjustRightInd w:val="0"/>
                    <w:snapToGrid w:val="0"/>
                    <w:jc w:val="center"/>
                    <w:rPr>
                      <w:bCs/>
                      <w:color w:val="auto"/>
                      <w:szCs w:val="21"/>
                    </w:rPr>
                  </w:pPr>
                  <w:r>
                    <w:rPr>
                      <w:bCs/>
                      <w:color w:val="auto"/>
                      <w:szCs w:val="21"/>
                    </w:rPr>
                    <w:t>数量</w:t>
                  </w:r>
                </w:p>
              </w:tc>
              <w:tc>
                <w:tcPr>
                  <w:tcW w:w="1124" w:type="dxa"/>
                  <w:vAlign w:val="center"/>
                </w:tcPr>
                <w:p>
                  <w:pPr>
                    <w:adjustRightInd w:val="0"/>
                    <w:snapToGrid w:val="0"/>
                    <w:jc w:val="center"/>
                    <w:rPr>
                      <w:bCs/>
                      <w:color w:val="auto"/>
                      <w:szCs w:val="21"/>
                    </w:rPr>
                  </w:pPr>
                  <w:r>
                    <w:rPr>
                      <w:bCs/>
                      <w:color w:val="auto"/>
                      <w:szCs w:val="21"/>
                    </w:rPr>
                    <w:t>材质</w:t>
                  </w:r>
                </w:p>
              </w:tc>
              <w:tc>
                <w:tcPr>
                  <w:tcW w:w="1091" w:type="dxa"/>
                  <w:vAlign w:val="center"/>
                </w:tcPr>
                <w:p>
                  <w:pPr>
                    <w:adjustRightInd w:val="0"/>
                    <w:snapToGrid w:val="0"/>
                    <w:jc w:val="center"/>
                    <w:rPr>
                      <w:bCs/>
                      <w:color w:val="auto"/>
                      <w:szCs w:val="21"/>
                    </w:rPr>
                  </w:pPr>
                  <w:r>
                    <w:rPr>
                      <w:bCs/>
                      <w:color w:val="auto"/>
                      <w:szCs w:val="21"/>
                    </w:rPr>
                    <w:t>备注</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1</w:t>
                  </w:r>
                </w:p>
              </w:tc>
              <w:tc>
                <w:tcPr>
                  <w:tcW w:w="2350" w:type="dxa"/>
                  <w:vAlign w:val="center"/>
                </w:tcPr>
                <w:p>
                  <w:pPr>
                    <w:adjustRightInd w:val="0"/>
                    <w:snapToGrid w:val="0"/>
                    <w:jc w:val="center"/>
                    <w:rPr>
                      <w:bCs/>
                      <w:color w:val="auto"/>
                      <w:szCs w:val="21"/>
                    </w:rPr>
                  </w:pPr>
                  <w:r>
                    <w:rPr>
                      <w:rFonts w:hint="eastAsia"/>
                      <w:bCs/>
                      <w:color w:val="auto"/>
                      <w:szCs w:val="21"/>
                    </w:rPr>
                    <w:t>切割机</w:t>
                  </w:r>
                </w:p>
              </w:tc>
              <w:tc>
                <w:tcPr>
                  <w:tcW w:w="1642" w:type="dxa"/>
                  <w:vAlign w:val="center"/>
                </w:tcPr>
                <w:p>
                  <w:pPr>
                    <w:adjustRightInd w:val="0"/>
                    <w:snapToGrid w:val="0"/>
                    <w:jc w:val="center"/>
                    <w:rPr>
                      <w:bCs/>
                      <w:color w:val="auto"/>
                      <w:szCs w:val="21"/>
                    </w:rPr>
                  </w:pPr>
                  <w:r>
                    <w:rPr>
                      <w:rFonts w:hint="eastAsia"/>
                      <w:bCs/>
                      <w:color w:val="auto"/>
                      <w:szCs w:val="21"/>
                    </w:rPr>
                    <w:t>SPQ6000BTTX</w:t>
                  </w:r>
                </w:p>
              </w:tc>
              <w:tc>
                <w:tcPr>
                  <w:tcW w:w="883" w:type="dxa"/>
                  <w:vAlign w:val="center"/>
                </w:tcPr>
                <w:p>
                  <w:pPr>
                    <w:adjustRightInd w:val="0"/>
                    <w:snapToGrid w:val="0"/>
                    <w:jc w:val="center"/>
                    <w:rPr>
                      <w:bCs/>
                      <w:color w:val="auto"/>
                      <w:szCs w:val="21"/>
                    </w:rPr>
                  </w:pPr>
                  <w:r>
                    <w:rPr>
                      <w:bCs/>
                      <w:color w:val="auto"/>
                      <w:szCs w:val="21"/>
                    </w:rPr>
                    <w:t>1台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2</w:t>
                  </w:r>
                </w:p>
              </w:tc>
              <w:tc>
                <w:tcPr>
                  <w:tcW w:w="2350" w:type="dxa"/>
                  <w:vAlign w:val="center"/>
                </w:tcPr>
                <w:p>
                  <w:pPr>
                    <w:adjustRightInd w:val="0"/>
                    <w:snapToGrid w:val="0"/>
                    <w:jc w:val="center"/>
                    <w:rPr>
                      <w:bCs/>
                      <w:color w:val="auto"/>
                      <w:szCs w:val="21"/>
                    </w:rPr>
                  </w:pPr>
                  <w:r>
                    <w:rPr>
                      <w:rFonts w:hint="eastAsia"/>
                      <w:bCs/>
                      <w:color w:val="auto"/>
                      <w:szCs w:val="21"/>
                    </w:rPr>
                    <w:t>干燥机</w:t>
                  </w:r>
                </w:p>
              </w:tc>
              <w:tc>
                <w:tcPr>
                  <w:tcW w:w="1642" w:type="dxa"/>
                  <w:vAlign w:val="center"/>
                </w:tcPr>
                <w:p>
                  <w:pPr>
                    <w:adjustRightInd w:val="0"/>
                    <w:snapToGrid w:val="0"/>
                    <w:jc w:val="center"/>
                    <w:rPr>
                      <w:bCs/>
                      <w:color w:val="auto"/>
                      <w:szCs w:val="21"/>
                    </w:rPr>
                  </w:pPr>
                  <w:r>
                    <w:rPr>
                      <w:rFonts w:hint="eastAsia"/>
                      <w:bCs/>
                      <w:color w:val="auto"/>
                      <w:szCs w:val="21"/>
                    </w:rPr>
                    <w:t>NHCD-300</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3</w:t>
                  </w:r>
                </w:p>
              </w:tc>
              <w:tc>
                <w:tcPr>
                  <w:tcW w:w="2350" w:type="dxa"/>
                  <w:vAlign w:val="center"/>
                </w:tcPr>
                <w:p>
                  <w:pPr>
                    <w:adjustRightInd w:val="0"/>
                    <w:snapToGrid w:val="0"/>
                    <w:jc w:val="center"/>
                    <w:rPr>
                      <w:bCs/>
                      <w:color w:val="auto"/>
                      <w:szCs w:val="21"/>
                    </w:rPr>
                  </w:pPr>
                  <w:r>
                    <w:rPr>
                      <w:rFonts w:hint="eastAsia"/>
                      <w:bCs/>
                      <w:color w:val="auto"/>
                      <w:szCs w:val="21"/>
                    </w:rPr>
                    <w:t>平移式压缩板材机</w:t>
                  </w:r>
                </w:p>
              </w:tc>
              <w:tc>
                <w:tcPr>
                  <w:tcW w:w="1642" w:type="dxa"/>
                  <w:vAlign w:val="center"/>
                </w:tcPr>
                <w:p>
                  <w:pPr>
                    <w:adjustRightInd w:val="0"/>
                    <w:snapToGrid w:val="0"/>
                    <w:jc w:val="center"/>
                    <w:rPr>
                      <w:bCs/>
                      <w:color w:val="auto"/>
                      <w:szCs w:val="21"/>
                    </w:rPr>
                  </w:pPr>
                  <w:r>
                    <w:rPr>
                      <w:rFonts w:hint="eastAsia"/>
                      <w:bCs/>
                      <w:color w:val="auto"/>
                      <w:szCs w:val="21"/>
                    </w:rPr>
                    <w:t>HNB-2440</w:t>
                  </w:r>
                </w:p>
              </w:tc>
              <w:tc>
                <w:tcPr>
                  <w:tcW w:w="883" w:type="dxa"/>
                  <w:vAlign w:val="center"/>
                </w:tcPr>
                <w:p>
                  <w:pPr>
                    <w:adjustRightInd w:val="0"/>
                    <w:snapToGrid w:val="0"/>
                    <w:jc w:val="center"/>
                    <w:rPr>
                      <w:bCs/>
                      <w:color w:val="auto"/>
                      <w:szCs w:val="21"/>
                    </w:rPr>
                  </w:pPr>
                  <w:r>
                    <w:rPr>
                      <w:rFonts w:hint="eastAsia"/>
                      <w:bCs/>
                      <w:color w:val="auto"/>
                      <w:szCs w:val="21"/>
                    </w:rPr>
                    <w:t>2</w:t>
                  </w:r>
                  <w:r>
                    <w:rPr>
                      <w:bCs/>
                      <w:color w:val="auto"/>
                      <w:szCs w:val="21"/>
                    </w:rPr>
                    <w:t>套</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4</w:t>
                  </w:r>
                </w:p>
              </w:tc>
              <w:tc>
                <w:tcPr>
                  <w:tcW w:w="2350" w:type="dxa"/>
                  <w:vAlign w:val="center"/>
                </w:tcPr>
                <w:p>
                  <w:pPr>
                    <w:adjustRightInd w:val="0"/>
                    <w:snapToGrid w:val="0"/>
                    <w:jc w:val="center"/>
                    <w:rPr>
                      <w:bCs/>
                      <w:color w:val="auto"/>
                      <w:szCs w:val="21"/>
                    </w:rPr>
                  </w:pPr>
                  <w:r>
                    <w:rPr>
                      <w:rFonts w:hint="eastAsia"/>
                      <w:bCs/>
                      <w:color w:val="auto"/>
                      <w:szCs w:val="21"/>
                    </w:rPr>
                    <w:t>自动烘干线</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5</w:t>
                  </w:r>
                </w:p>
              </w:tc>
              <w:tc>
                <w:tcPr>
                  <w:tcW w:w="2350" w:type="dxa"/>
                  <w:vAlign w:val="center"/>
                </w:tcPr>
                <w:p>
                  <w:pPr>
                    <w:adjustRightInd w:val="0"/>
                    <w:snapToGrid w:val="0"/>
                    <w:jc w:val="center"/>
                    <w:rPr>
                      <w:bCs/>
                      <w:color w:val="auto"/>
                      <w:szCs w:val="21"/>
                    </w:rPr>
                  </w:pPr>
                  <w:r>
                    <w:rPr>
                      <w:rFonts w:hint="eastAsia"/>
                      <w:bCs/>
                      <w:color w:val="auto"/>
                      <w:szCs w:val="21"/>
                    </w:rPr>
                    <w:t>ERS间歇式预发机</w:t>
                  </w:r>
                </w:p>
              </w:tc>
              <w:tc>
                <w:tcPr>
                  <w:tcW w:w="1642" w:type="dxa"/>
                  <w:vAlign w:val="center"/>
                </w:tcPr>
                <w:p>
                  <w:pPr>
                    <w:adjustRightInd w:val="0"/>
                    <w:snapToGrid w:val="0"/>
                    <w:jc w:val="center"/>
                    <w:rPr>
                      <w:bCs/>
                      <w:color w:val="auto"/>
                      <w:szCs w:val="21"/>
                    </w:rPr>
                  </w:pPr>
                  <w:r>
                    <w:rPr>
                      <w:rFonts w:hint="eastAsia"/>
                      <w:bCs/>
                      <w:color w:val="auto"/>
                      <w:szCs w:val="21"/>
                    </w:rPr>
                    <w:t>SPJ150</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6</w:t>
                  </w:r>
                </w:p>
              </w:tc>
              <w:tc>
                <w:tcPr>
                  <w:tcW w:w="2350" w:type="dxa"/>
                  <w:vAlign w:val="center"/>
                </w:tcPr>
                <w:p>
                  <w:pPr>
                    <w:adjustRightInd w:val="0"/>
                    <w:snapToGrid w:val="0"/>
                    <w:jc w:val="center"/>
                    <w:rPr>
                      <w:bCs/>
                      <w:color w:val="auto"/>
                      <w:szCs w:val="21"/>
                    </w:rPr>
                  </w:pPr>
                  <w:r>
                    <w:rPr>
                      <w:rFonts w:hint="eastAsia"/>
                      <w:bCs/>
                      <w:color w:val="auto"/>
                      <w:szCs w:val="21"/>
                    </w:rPr>
                    <w:t>干燥机</w:t>
                  </w:r>
                </w:p>
              </w:tc>
              <w:tc>
                <w:tcPr>
                  <w:tcW w:w="1642" w:type="dxa"/>
                  <w:vAlign w:val="center"/>
                </w:tcPr>
                <w:p>
                  <w:pPr>
                    <w:adjustRightInd w:val="0"/>
                    <w:snapToGrid w:val="0"/>
                    <w:jc w:val="center"/>
                    <w:rPr>
                      <w:bCs/>
                      <w:color w:val="auto"/>
                      <w:szCs w:val="21"/>
                    </w:rPr>
                  </w:pPr>
                  <w:r>
                    <w:rPr>
                      <w:rFonts w:hint="eastAsia"/>
                      <w:bCs/>
                      <w:color w:val="auto"/>
                      <w:szCs w:val="21"/>
                    </w:rPr>
                    <w:t>SPL150</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套</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bCs/>
                      <w:color w:val="auto"/>
                      <w:szCs w:val="21"/>
                    </w:rPr>
                    <w:t>7</w:t>
                  </w:r>
                </w:p>
              </w:tc>
              <w:tc>
                <w:tcPr>
                  <w:tcW w:w="2350" w:type="dxa"/>
                  <w:vAlign w:val="center"/>
                </w:tcPr>
                <w:p>
                  <w:pPr>
                    <w:adjustRightInd w:val="0"/>
                    <w:snapToGrid w:val="0"/>
                    <w:jc w:val="center"/>
                    <w:rPr>
                      <w:bCs/>
                      <w:color w:val="auto"/>
                      <w:szCs w:val="21"/>
                    </w:rPr>
                  </w:pPr>
                  <w:r>
                    <w:rPr>
                      <w:rFonts w:hint="eastAsia"/>
                      <w:bCs/>
                      <w:color w:val="auto"/>
                      <w:szCs w:val="21"/>
                    </w:rPr>
                    <w:t>EPS间歇式预发机</w:t>
                  </w:r>
                </w:p>
              </w:tc>
              <w:tc>
                <w:tcPr>
                  <w:tcW w:w="1642" w:type="dxa"/>
                  <w:vAlign w:val="center"/>
                </w:tcPr>
                <w:p>
                  <w:pPr>
                    <w:adjustRightInd w:val="0"/>
                    <w:snapToGrid w:val="0"/>
                    <w:jc w:val="center"/>
                    <w:rPr>
                      <w:bCs/>
                      <w:color w:val="auto"/>
                      <w:szCs w:val="21"/>
                    </w:rPr>
                  </w:pPr>
                  <w:r>
                    <w:rPr>
                      <w:rFonts w:hint="eastAsia"/>
                      <w:bCs/>
                      <w:color w:val="auto"/>
                      <w:szCs w:val="21"/>
                    </w:rPr>
                    <w:t>PSJ150</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8</w:t>
                  </w:r>
                </w:p>
              </w:tc>
              <w:tc>
                <w:tcPr>
                  <w:tcW w:w="2350" w:type="dxa"/>
                  <w:vAlign w:val="center"/>
                </w:tcPr>
                <w:p>
                  <w:pPr>
                    <w:adjustRightInd w:val="0"/>
                    <w:snapToGrid w:val="0"/>
                    <w:jc w:val="center"/>
                    <w:rPr>
                      <w:bCs/>
                      <w:color w:val="auto"/>
                      <w:szCs w:val="21"/>
                    </w:rPr>
                  </w:pPr>
                  <w:r>
                    <w:rPr>
                      <w:rFonts w:hint="eastAsia"/>
                      <w:bCs/>
                      <w:color w:val="auto"/>
                      <w:szCs w:val="21"/>
                    </w:rPr>
                    <w:t>螺杆式空气压缩机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9</w:t>
                  </w:r>
                </w:p>
              </w:tc>
              <w:tc>
                <w:tcPr>
                  <w:tcW w:w="2350" w:type="dxa"/>
                  <w:vAlign w:val="center"/>
                </w:tcPr>
                <w:p>
                  <w:pPr>
                    <w:adjustRightInd w:val="0"/>
                    <w:snapToGrid w:val="0"/>
                    <w:jc w:val="center"/>
                    <w:rPr>
                      <w:bCs/>
                      <w:color w:val="auto"/>
                      <w:szCs w:val="21"/>
                    </w:rPr>
                  </w:pPr>
                  <w:r>
                    <w:rPr>
                      <w:rFonts w:hint="eastAsia"/>
                      <w:bCs/>
                      <w:color w:val="auto"/>
                      <w:szCs w:val="21"/>
                    </w:rPr>
                    <w:t>全自动泡塑板材成型机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10</w:t>
                  </w:r>
                </w:p>
              </w:tc>
              <w:tc>
                <w:tcPr>
                  <w:tcW w:w="2350" w:type="dxa"/>
                  <w:vAlign w:val="center"/>
                </w:tcPr>
                <w:p>
                  <w:pPr>
                    <w:adjustRightInd w:val="0"/>
                    <w:snapToGrid w:val="0"/>
                    <w:jc w:val="center"/>
                    <w:rPr>
                      <w:bCs/>
                      <w:color w:val="auto"/>
                      <w:szCs w:val="21"/>
                    </w:rPr>
                  </w:pPr>
                  <w:r>
                    <w:rPr>
                      <w:rFonts w:hint="eastAsia"/>
                      <w:bCs/>
                      <w:color w:val="auto"/>
                      <w:szCs w:val="21"/>
                    </w:rPr>
                    <w:t>系列空气压缩机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11</w:t>
                  </w:r>
                </w:p>
              </w:tc>
              <w:tc>
                <w:tcPr>
                  <w:tcW w:w="2350" w:type="dxa"/>
                  <w:vAlign w:val="center"/>
                </w:tcPr>
                <w:p>
                  <w:pPr>
                    <w:adjustRightInd w:val="0"/>
                    <w:snapToGrid w:val="0"/>
                    <w:jc w:val="center"/>
                    <w:rPr>
                      <w:bCs/>
                      <w:color w:val="auto"/>
                      <w:szCs w:val="21"/>
                    </w:rPr>
                  </w:pPr>
                  <w:r>
                    <w:rPr>
                      <w:rFonts w:hint="eastAsia"/>
                      <w:bCs/>
                      <w:color w:val="auto"/>
                      <w:szCs w:val="21"/>
                    </w:rPr>
                    <w:t>储气罐</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12</w:t>
                  </w:r>
                </w:p>
              </w:tc>
              <w:tc>
                <w:tcPr>
                  <w:tcW w:w="2350" w:type="dxa"/>
                  <w:vAlign w:val="center"/>
                </w:tcPr>
                <w:p>
                  <w:pPr>
                    <w:adjustRightInd w:val="0"/>
                    <w:snapToGrid w:val="0"/>
                    <w:jc w:val="center"/>
                    <w:rPr>
                      <w:bCs/>
                      <w:color w:val="auto"/>
                      <w:szCs w:val="21"/>
                    </w:rPr>
                  </w:pPr>
                  <w:r>
                    <w:rPr>
                      <w:rFonts w:hint="eastAsia"/>
                      <w:bCs/>
                      <w:color w:val="auto"/>
                      <w:szCs w:val="21"/>
                    </w:rPr>
                    <w:t>包塑硫化干燥机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13</w:t>
                  </w:r>
                </w:p>
              </w:tc>
              <w:tc>
                <w:tcPr>
                  <w:tcW w:w="2350" w:type="dxa"/>
                  <w:vAlign w:val="center"/>
                </w:tcPr>
                <w:p>
                  <w:pPr>
                    <w:adjustRightInd w:val="0"/>
                    <w:snapToGrid w:val="0"/>
                    <w:jc w:val="center"/>
                    <w:rPr>
                      <w:bCs/>
                      <w:color w:val="auto"/>
                      <w:szCs w:val="21"/>
                    </w:rPr>
                  </w:pPr>
                  <w:r>
                    <w:rPr>
                      <w:rFonts w:hint="eastAsia"/>
                      <w:bCs/>
                      <w:color w:val="auto"/>
                      <w:szCs w:val="21"/>
                    </w:rPr>
                    <w:t>锤片式粉碎机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14</w:t>
                  </w:r>
                </w:p>
              </w:tc>
              <w:tc>
                <w:tcPr>
                  <w:tcW w:w="2350" w:type="dxa"/>
                  <w:vAlign w:val="center"/>
                </w:tcPr>
                <w:p>
                  <w:pPr>
                    <w:adjustRightInd w:val="0"/>
                    <w:snapToGrid w:val="0"/>
                    <w:jc w:val="center"/>
                    <w:rPr>
                      <w:bCs/>
                      <w:color w:val="auto"/>
                      <w:szCs w:val="21"/>
                    </w:rPr>
                  </w:pPr>
                  <w:r>
                    <w:rPr>
                      <w:rFonts w:hint="eastAsia"/>
                      <w:bCs/>
                      <w:color w:val="auto"/>
                      <w:szCs w:val="21"/>
                    </w:rPr>
                    <w:t>FPS干燥机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15</w:t>
                  </w:r>
                </w:p>
              </w:tc>
              <w:tc>
                <w:tcPr>
                  <w:tcW w:w="2350" w:type="dxa"/>
                  <w:vAlign w:val="center"/>
                </w:tcPr>
                <w:p>
                  <w:pPr>
                    <w:adjustRightInd w:val="0"/>
                    <w:snapToGrid w:val="0"/>
                    <w:jc w:val="center"/>
                    <w:rPr>
                      <w:bCs/>
                      <w:color w:val="auto"/>
                      <w:szCs w:val="21"/>
                    </w:rPr>
                  </w:pPr>
                  <w:r>
                    <w:rPr>
                      <w:rFonts w:hint="eastAsia"/>
                      <w:bCs/>
                      <w:color w:val="auto"/>
                      <w:szCs w:val="21"/>
                    </w:rPr>
                    <w:t>储能器</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16</w:t>
                  </w:r>
                </w:p>
              </w:tc>
              <w:tc>
                <w:tcPr>
                  <w:tcW w:w="2350" w:type="dxa"/>
                  <w:vAlign w:val="center"/>
                </w:tcPr>
                <w:p>
                  <w:pPr>
                    <w:adjustRightInd w:val="0"/>
                    <w:snapToGrid w:val="0"/>
                    <w:jc w:val="center"/>
                    <w:rPr>
                      <w:bCs/>
                      <w:color w:val="auto"/>
                      <w:szCs w:val="21"/>
                    </w:rPr>
                  </w:pPr>
                  <w:r>
                    <w:rPr>
                      <w:rFonts w:hint="eastAsia"/>
                      <w:bCs/>
                      <w:color w:val="auto"/>
                      <w:szCs w:val="21"/>
                    </w:rPr>
                    <w:t>EPS全自动切割机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17</w:t>
                  </w:r>
                </w:p>
              </w:tc>
              <w:tc>
                <w:tcPr>
                  <w:tcW w:w="2350" w:type="dxa"/>
                  <w:vAlign w:val="center"/>
                </w:tcPr>
                <w:p>
                  <w:pPr>
                    <w:adjustRightInd w:val="0"/>
                    <w:snapToGrid w:val="0"/>
                    <w:jc w:val="center"/>
                    <w:rPr>
                      <w:bCs/>
                      <w:color w:val="auto"/>
                      <w:szCs w:val="21"/>
                    </w:rPr>
                  </w:pPr>
                  <w:r>
                    <w:rPr>
                      <w:rFonts w:hint="eastAsia"/>
                      <w:bCs/>
                      <w:color w:val="auto"/>
                      <w:szCs w:val="21"/>
                    </w:rPr>
                    <w:t>EPS-600型板材切割机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18</w:t>
                  </w:r>
                </w:p>
              </w:tc>
              <w:tc>
                <w:tcPr>
                  <w:tcW w:w="2350" w:type="dxa"/>
                  <w:vAlign w:val="center"/>
                </w:tcPr>
                <w:p>
                  <w:pPr>
                    <w:adjustRightInd w:val="0"/>
                    <w:snapToGrid w:val="0"/>
                    <w:jc w:val="center"/>
                    <w:rPr>
                      <w:bCs/>
                      <w:color w:val="auto"/>
                      <w:szCs w:val="21"/>
                    </w:rPr>
                  </w:pPr>
                  <w:r>
                    <w:rPr>
                      <w:rFonts w:hint="eastAsia"/>
                      <w:bCs/>
                      <w:color w:val="auto"/>
                      <w:szCs w:val="21"/>
                    </w:rPr>
                    <w:t>泡塑切割机</w:t>
                  </w:r>
                </w:p>
              </w:tc>
              <w:tc>
                <w:tcPr>
                  <w:tcW w:w="1642" w:type="dxa"/>
                  <w:vAlign w:val="center"/>
                </w:tcPr>
                <w:p>
                  <w:pPr>
                    <w:adjustRightInd w:val="0"/>
                    <w:snapToGrid w:val="0"/>
                    <w:jc w:val="center"/>
                    <w:rPr>
                      <w:bCs/>
                      <w:color w:val="auto"/>
                      <w:szCs w:val="21"/>
                    </w:rPr>
                  </w:pPr>
                  <w:r>
                    <w:rPr>
                      <w:rFonts w:hint="eastAsia"/>
                      <w:bCs/>
                      <w:color w:val="auto"/>
                      <w:szCs w:val="21"/>
                    </w:rPr>
                    <w:t>-</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63" w:hRule="exact"/>
                <w:jc w:val="center"/>
              </w:trPr>
              <w:tc>
                <w:tcPr>
                  <w:tcW w:w="677" w:type="dxa"/>
                  <w:vAlign w:val="center"/>
                </w:tcPr>
                <w:p>
                  <w:pPr>
                    <w:adjustRightInd w:val="0"/>
                    <w:snapToGrid w:val="0"/>
                    <w:jc w:val="center"/>
                    <w:rPr>
                      <w:bCs/>
                      <w:color w:val="auto"/>
                      <w:szCs w:val="21"/>
                    </w:rPr>
                  </w:pPr>
                  <w:r>
                    <w:rPr>
                      <w:rFonts w:hint="eastAsia"/>
                      <w:bCs/>
                      <w:color w:val="auto"/>
                      <w:szCs w:val="21"/>
                    </w:rPr>
                    <w:t>19</w:t>
                  </w:r>
                </w:p>
              </w:tc>
              <w:tc>
                <w:tcPr>
                  <w:tcW w:w="2350" w:type="dxa"/>
                  <w:vAlign w:val="center"/>
                </w:tcPr>
                <w:p>
                  <w:pPr>
                    <w:adjustRightInd w:val="0"/>
                    <w:snapToGrid w:val="0"/>
                    <w:jc w:val="center"/>
                    <w:rPr>
                      <w:bCs/>
                      <w:color w:val="auto"/>
                      <w:szCs w:val="21"/>
                    </w:rPr>
                  </w:pPr>
                  <w:r>
                    <w:rPr>
                      <w:rFonts w:hint="eastAsia"/>
                      <w:bCs/>
                      <w:color w:val="auto"/>
                      <w:szCs w:val="21"/>
                    </w:rPr>
                    <w:t>生物质锅炉</w:t>
                  </w:r>
                </w:p>
              </w:tc>
              <w:tc>
                <w:tcPr>
                  <w:tcW w:w="1642" w:type="dxa"/>
                  <w:vAlign w:val="center"/>
                </w:tcPr>
                <w:p>
                  <w:pPr>
                    <w:adjustRightInd w:val="0"/>
                    <w:snapToGrid w:val="0"/>
                    <w:jc w:val="center"/>
                    <w:rPr>
                      <w:bCs/>
                      <w:color w:val="auto"/>
                      <w:szCs w:val="21"/>
                    </w:rPr>
                  </w:pPr>
                  <w:r>
                    <w:rPr>
                      <w:rFonts w:hint="eastAsia"/>
                      <w:bCs/>
                      <w:color w:val="auto"/>
                      <w:szCs w:val="21"/>
                    </w:rPr>
                    <w:t>3t/h</w:t>
                  </w:r>
                </w:p>
              </w:tc>
              <w:tc>
                <w:tcPr>
                  <w:tcW w:w="883" w:type="dxa"/>
                  <w:vAlign w:val="center"/>
                </w:tcPr>
                <w:p>
                  <w:pPr>
                    <w:adjustRightInd w:val="0"/>
                    <w:snapToGrid w:val="0"/>
                    <w:jc w:val="center"/>
                    <w:rPr>
                      <w:bCs/>
                      <w:color w:val="auto"/>
                      <w:szCs w:val="21"/>
                    </w:rPr>
                  </w:pPr>
                  <w:r>
                    <w:rPr>
                      <w:rFonts w:hint="eastAsia"/>
                      <w:bCs/>
                      <w:color w:val="auto"/>
                      <w:szCs w:val="21"/>
                    </w:rPr>
                    <w:t>1</w:t>
                  </w:r>
                  <w:r>
                    <w:rPr>
                      <w:bCs/>
                      <w:color w:val="auto"/>
                      <w:szCs w:val="21"/>
                    </w:rPr>
                    <w:t>台</w:t>
                  </w:r>
                </w:p>
              </w:tc>
              <w:tc>
                <w:tcPr>
                  <w:tcW w:w="1124" w:type="dxa"/>
                  <w:vAlign w:val="center"/>
                </w:tcPr>
                <w:p>
                  <w:pPr>
                    <w:adjustRightInd w:val="0"/>
                    <w:snapToGrid w:val="0"/>
                    <w:jc w:val="center"/>
                    <w:rPr>
                      <w:bCs/>
                      <w:color w:val="auto"/>
                      <w:szCs w:val="21"/>
                    </w:rPr>
                  </w:pPr>
                  <w:r>
                    <w:rPr>
                      <w:bCs/>
                      <w:color w:val="auto"/>
                      <w:szCs w:val="21"/>
                    </w:rPr>
                    <w:t>不锈钢</w:t>
                  </w:r>
                </w:p>
              </w:tc>
              <w:tc>
                <w:tcPr>
                  <w:tcW w:w="1091" w:type="dxa"/>
                  <w:vAlign w:val="center"/>
                </w:tcPr>
                <w:p>
                  <w:pPr>
                    <w:adjustRightInd w:val="0"/>
                    <w:snapToGrid w:val="0"/>
                    <w:jc w:val="center"/>
                    <w:rPr>
                      <w:bCs/>
                      <w:color w:val="auto"/>
                      <w:szCs w:val="21"/>
                    </w:rPr>
                  </w:pPr>
                </w:p>
              </w:tc>
            </w:tr>
          </w:tbl>
          <w:p>
            <w:pPr>
              <w:adjustRightInd w:val="0"/>
              <w:snapToGrid w:val="0"/>
              <w:spacing w:line="520" w:lineRule="exact"/>
              <w:rPr>
                <w:b/>
                <w:color w:val="auto"/>
                <w:sz w:val="28"/>
                <w:szCs w:val="28"/>
              </w:rPr>
            </w:pPr>
            <w:r>
              <w:rPr>
                <w:rFonts w:hint="eastAsia"/>
                <w:b/>
                <w:color w:val="auto"/>
                <w:sz w:val="28"/>
                <w:szCs w:val="28"/>
              </w:rPr>
              <w:t>1.2产品方案</w:t>
            </w:r>
          </w:p>
          <w:p>
            <w:pPr>
              <w:adjustRightInd w:val="0"/>
              <w:snapToGrid w:val="0"/>
              <w:spacing w:line="520" w:lineRule="exact"/>
              <w:ind w:firstLine="560" w:firstLineChars="200"/>
              <w:rPr>
                <w:bCs/>
                <w:color w:val="auto"/>
                <w:sz w:val="28"/>
                <w:szCs w:val="28"/>
              </w:rPr>
            </w:pPr>
            <w:r>
              <w:rPr>
                <w:rFonts w:hint="eastAsia"/>
                <w:bCs/>
                <w:color w:val="auto"/>
                <w:sz w:val="28"/>
                <w:szCs w:val="28"/>
              </w:rPr>
              <w:t>本项目产品方案见表5</w:t>
            </w:r>
          </w:p>
          <w:p>
            <w:pPr>
              <w:adjustRightInd w:val="0"/>
              <w:snapToGrid w:val="0"/>
              <w:ind w:firstLine="480" w:firstLineChars="200"/>
              <w:rPr>
                <w:color w:val="auto"/>
              </w:rPr>
            </w:pPr>
            <w:r>
              <w:rPr>
                <w:rFonts w:eastAsia="黑体"/>
                <w:bCs/>
                <w:color w:val="auto"/>
                <w:sz w:val="24"/>
              </w:rPr>
              <w:t>表</w:t>
            </w:r>
            <w:r>
              <w:rPr>
                <w:rFonts w:hint="eastAsia" w:eastAsia="黑体"/>
                <w:bCs/>
                <w:color w:val="auto"/>
                <w:sz w:val="24"/>
              </w:rPr>
              <w:t xml:space="preserve">5 </w:t>
            </w:r>
            <w:r>
              <w:rPr>
                <w:rFonts w:eastAsia="黑体"/>
                <w:bCs/>
                <w:color w:val="auto"/>
                <w:sz w:val="24"/>
              </w:rPr>
              <w:t xml:space="preserve">            </w:t>
            </w:r>
            <w:r>
              <w:rPr>
                <w:rFonts w:hint="eastAsia" w:eastAsia="黑体"/>
                <w:bCs/>
                <w:color w:val="auto"/>
                <w:sz w:val="24"/>
              </w:rPr>
              <w:t>项目产品方案及规模</w:t>
            </w:r>
            <w:r>
              <w:rPr>
                <w:rFonts w:eastAsia="黑体"/>
                <w:bCs/>
                <w:color w:val="auto"/>
                <w:sz w:val="24"/>
              </w:rPr>
              <w:t>一览表</w:t>
            </w:r>
          </w:p>
          <w:tbl>
            <w:tblPr>
              <w:tblStyle w:val="18"/>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954"/>
              <w:gridCol w:w="2071"/>
              <w:gridCol w:w="2135"/>
              <w:gridCol w:w="260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47" w:type="dxa"/>
                  <w:vAlign w:val="center"/>
                </w:tcPr>
                <w:p>
                  <w:pPr>
                    <w:jc w:val="center"/>
                    <w:rPr>
                      <w:rFonts w:ascii="宋体" w:hAnsi="宋体"/>
                      <w:bCs/>
                      <w:color w:val="auto"/>
                      <w:szCs w:val="21"/>
                    </w:rPr>
                  </w:pPr>
                  <w:r>
                    <w:rPr>
                      <w:rFonts w:hint="eastAsia" w:ascii="宋体" w:hAnsi="宋体"/>
                      <w:bCs/>
                      <w:color w:val="auto"/>
                      <w:szCs w:val="21"/>
                    </w:rPr>
                    <w:t>序号</w:t>
                  </w:r>
                </w:p>
              </w:tc>
              <w:tc>
                <w:tcPr>
                  <w:tcW w:w="2054" w:type="dxa"/>
                  <w:vAlign w:val="center"/>
                </w:tcPr>
                <w:p>
                  <w:pPr>
                    <w:jc w:val="center"/>
                    <w:rPr>
                      <w:rFonts w:ascii="宋体" w:hAnsi="宋体"/>
                      <w:bCs/>
                      <w:color w:val="auto"/>
                      <w:szCs w:val="21"/>
                    </w:rPr>
                  </w:pPr>
                  <w:r>
                    <w:rPr>
                      <w:rFonts w:hint="eastAsia" w:ascii="宋体" w:hAnsi="宋体"/>
                      <w:bCs/>
                      <w:color w:val="auto"/>
                      <w:szCs w:val="21"/>
                    </w:rPr>
                    <w:t>产品名称</w:t>
                  </w:r>
                </w:p>
              </w:tc>
              <w:tc>
                <w:tcPr>
                  <w:tcW w:w="2118" w:type="dxa"/>
                  <w:vAlign w:val="center"/>
                </w:tcPr>
                <w:p>
                  <w:pPr>
                    <w:jc w:val="center"/>
                    <w:rPr>
                      <w:rFonts w:ascii="宋体" w:hAnsi="宋体"/>
                      <w:bCs/>
                      <w:color w:val="auto"/>
                      <w:szCs w:val="21"/>
                    </w:rPr>
                  </w:pPr>
                  <w:r>
                    <w:rPr>
                      <w:rFonts w:hint="eastAsia" w:ascii="宋体" w:hAnsi="宋体"/>
                      <w:bCs/>
                      <w:color w:val="auto"/>
                      <w:szCs w:val="21"/>
                    </w:rPr>
                    <w:t>单位</w:t>
                  </w:r>
                </w:p>
              </w:tc>
              <w:tc>
                <w:tcPr>
                  <w:tcW w:w="2586" w:type="dxa"/>
                  <w:vAlign w:val="center"/>
                </w:tcPr>
                <w:p>
                  <w:pPr>
                    <w:jc w:val="center"/>
                    <w:rPr>
                      <w:rFonts w:hAnsi="宋体"/>
                      <w:bCs/>
                      <w:color w:val="auto"/>
                      <w:szCs w:val="21"/>
                    </w:rPr>
                  </w:pPr>
                  <w:r>
                    <w:rPr>
                      <w:rFonts w:hint="eastAsia" w:hAnsi="宋体"/>
                      <w:bCs/>
                      <w:color w:val="auto"/>
                      <w:szCs w:val="21"/>
                    </w:rPr>
                    <w:t>产品规模</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947" w:type="dxa"/>
                  <w:vAlign w:val="center"/>
                </w:tcPr>
                <w:p>
                  <w:pPr>
                    <w:jc w:val="center"/>
                    <w:rPr>
                      <w:rFonts w:ascii="宋体" w:hAnsi="宋体"/>
                      <w:bCs/>
                      <w:color w:val="auto"/>
                      <w:szCs w:val="21"/>
                    </w:rPr>
                  </w:pPr>
                  <w:r>
                    <w:rPr>
                      <w:rFonts w:hint="eastAsia" w:ascii="宋体" w:hAnsi="宋体"/>
                      <w:bCs/>
                      <w:color w:val="auto"/>
                      <w:szCs w:val="21"/>
                    </w:rPr>
                    <w:t>1</w:t>
                  </w:r>
                </w:p>
              </w:tc>
              <w:tc>
                <w:tcPr>
                  <w:tcW w:w="2054" w:type="dxa"/>
                  <w:vAlign w:val="center"/>
                </w:tcPr>
                <w:p>
                  <w:pPr>
                    <w:jc w:val="center"/>
                    <w:rPr>
                      <w:rFonts w:ascii="宋体" w:hAnsi="宋体"/>
                      <w:bCs/>
                      <w:color w:val="auto"/>
                      <w:szCs w:val="21"/>
                    </w:rPr>
                  </w:pPr>
                  <w:r>
                    <w:rPr>
                      <w:rFonts w:hint="eastAsia" w:ascii="宋体" w:hAnsi="宋体"/>
                      <w:bCs/>
                      <w:color w:val="auto"/>
                      <w:szCs w:val="21"/>
                    </w:rPr>
                    <w:t>苯板</w:t>
                  </w:r>
                </w:p>
              </w:tc>
              <w:tc>
                <w:tcPr>
                  <w:tcW w:w="2118" w:type="dxa"/>
                  <w:vAlign w:val="center"/>
                </w:tcPr>
                <w:p>
                  <w:pPr>
                    <w:jc w:val="center"/>
                    <w:rPr>
                      <w:rFonts w:ascii="宋体" w:hAnsi="宋体"/>
                      <w:bCs/>
                      <w:color w:val="auto"/>
                      <w:szCs w:val="21"/>
                    </w:rPr>
                  </w:pPr>
                  <w:r>
                    <w:rPr>
                      <w:bCs/>
                      <w:color w:val="auto"/>
                      <w:szCs w:val="21"/>
                    </w:rPr>
                    <w:t>m</w:t>
                  </w:r>
                  <w:r>
                    <w:rPr>
                      <w:bCs/>
                      <w:color w:val="auto"/>
                      <w:szCs w:val="21"/>
                      <w:vertAlign w:val="superscript"/>
                    </w:rPr>
                    <w:t>3</w:t>
                  </w:r>
                  <w:r>
                    <w:rPr>
                      <w:bCs/>
                      <w:color w:val="auto"/>
                      <w:szCs w:val="21"/>
                    </w:rPr>
                    <w:t>/a</w:t>
                  </w:r>
                </w:p>
              </w:tc>
              <w:tc>
                <w:tcPr>
                  <w:tcW w:w="2586" w:type="dxa"/>
                  <w:vAlign w:val="center"/>
                </w:tcPr>
                <w:p>
                  <w:pPr>
                    <w:jc w:val="center"/>
                    <w:rPr>
                      <w:rFonts w:hAnsi="宋体"/>
                      <w:bCs/>
                      <w:color w:val="auto"/>
                      <w:szCs w:val="21"/>
                    </w:rPr>
                  </w:pPr>
                  <w:r>
                    <w:rPr>
                      <w:rFonts w:hint="eastAsia" w:hAnsi="宋体"/>
                      <w:bCs/>
                      <w:color w:val="auto"/>
                      <w:szCs w:val="21"/>
                    </w:rPr>
                    <w:t>5000</w:t>
                  </w:r>
                </w:p>
              </w:tc>
            </w:tr>
          </w:tbl>
          <w:p>
            <w:pPr>
              <w:adjustRightInd w:val="0"/>
              <w:snapToGrid w:val="0"/>
              <w:spacing w:line="520" w:lineRule="exact"/>
              <w:rPr>
                <w:b/>
                <w:color w:val="auto"/>
                <w:sz w:val="28"/>
                <w:szCs w:val="28"/>
              </w:rPr>
            </w:pPr>
            <w:r>
              <w:rPr>
                <w:rFonts w:hint="eastAsia"/>
                <w:b/>
                <w:color w:val="auto"/>
                <w:sz w:val="28"/>
                <w:szCs w:val="28"/>
              </w:rPr>
              <w:t>1.3项目原辅材料</w:t>
            </w:r>
          </w:p>
          <w:p>
            <w:pPr>
              <w:adjustRightInd w:val="0"/>
              <w:snapToGrid w:val="0"/>
              <w:spacing w:line="520" w:lineRule="exact"/>
              <w:ind w:firstLine="560" w:firstLineChars="200"/>
              <w:rPr>
                <w:bCs/>
                <w:color w:val="auto"/>
                <w:sz w:val="28"/>
                <w:szCs w:val="28"/>
              </w:rPr>
            </w:pPr>
            <w:r>
              <w:rPr>
                <w:rFonts w:hint="eastAsia"/>
                <w:bCs/>
                <w:color w:val="auto"/>
                <w:sz w:val="28"/>
                <w:szCs w:val="28"/>
              </w:rPr>
              <w:t>项目主要原辅材料及来源情况见表。</w:t>
            </w:r>
          </w:p>
          <w:p>
            <w:pPr>
              <w:adjustRightInd w:val="0"/>
              <w:snapToGrid w:val="0"/>
              <w:ind w:firstLine="480" w:firstLineChars="200"/>
              <w:rPr>
                <w:color w:val="auto"/>
              </w:rPr>
            </w:pPr>
            <w:r>
              <w:rPr>
                <w:rFonts w:eastAsia="黑体"/>
                <w:bCs/>
                <w:color w:val="auto"/>
                <w:sz w:val="24"/>
              </w:rPr>
              <w:t>表</w:t>
            </w:r>
            <w:r>
              <w:rPr>
                <w:rFonts w:hint="eastAsia" w:eastAsia="黑体"/>
                <w:bCs/>
                <w:color w:val="auto"/>
                <w:sz w:val="24"/>
              </w:rPr>
              <w:t>6</w:t>
            </w:r>
            <w:r>
              <w:rPr>
                <w:rFonts w:eastAsia="黑体"/>
                <w:bCs/>
                <w:color w:val="auto"/>
                <w:sz w:val="24"/>
              </w:rPr>
              <w:t xml:space="preserve">             </w:t>
            </w:r>
            <w:r>
              <w:rPr>
                <w:rFonts w:hint="eastAsia" w:eastAsia="黑体"/>
                <w:bCs/>
                <w:color w:val="auto"/>
                <w:sz w:val="24"/>
              </w:rPr>
              <w:t>项目原辅材料及来源情况表</w:t>
            </w:r>
          </w:p>
          <w:tbl>
            <w:tblPr>
              <w:tblStyle w:val="18"/>
              <w:tblW w:w="4998"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735"/>
              <w:gridCol w:w="1372"/>
              <w:gridCol w:w="786"/>
              <w:gridCol w:w="904"/>
              <w:gridCol w:w="1103"/>
              <w:gridCol w:w="1713"/>
              <w:gridCol w:w="115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24" w:hRule="atLeast"/>
              </w:trPr>
              <w:tc>
                <w:tcPr>
                  <w:tcW w:w="473" w:type="pct"/>
                  <w:vAlign w:val="center"/>
                </w:tcPr>
                <w:p>
                  <w:pPr>
                    <w:jc w:val="center"/>
                    <w:rPr>
                      <w:rFonts w:ascii="宋体" w:hAnsi="宋体"/>
                      <w:bCs/>
                      <w:color w:val="auto"/>
                      <w:szCs w:val="21"/>
                    </w:rPr>
                  </w:pPr>
                  <w:r>
                    <w:rPr>
                      <w:rFonts w:hint="eastAsia" w:ascii="宋体" w:hAnsi="宋体"/>
                      <w:bCs/>
                      <w:color w:val="auto"/>
                      <w:szCs w:val="21"/>
                    </w:rPr>
                    <w:t>序号</w:t>
                  </w:r>
                </w:p>
              </w:tc>
              <w:tc>
                <w:tcPr>
                  <w:tcW w:w="883" w:type="pct"/>
                  <w:vAlign w:val="center"/>
                </w:tcPr>
                <w:p>
                  <w:pPr>
                    <w:jc w:val="center"/>
                    <w:rPr>
                      <w:rFonts w:ascii="宋体" w:hAnsi="宋体"/>
                      <w:bCs/>
                      <w:color w:val="auto"/>
                      <w:szCs w:val="21"/>
                    </w:rPr>
                  </w:pPr>
                  <w:r>
                    <w:rPr>
                      <w:rFonts w:hint="eastAsia" w:ascii="宋体" w:hAnsi="宋体"/>
                      <w:bCs/>
                      <w:color w:val="auto"/>
                      <w:szCs w:val="21"/>
                    </w:rPr>
                    <w:t>名称</w:t>
                  </w:r>
                </w:p>
              </w:tc>
              <w:tc>
                <w:tcPr>
                  <w:tcW w:w="506" w:type="pct"/>
                  <w:vAlign w:val="center"/>
                </w:tcPr>
                <w:p>
                  <w:pPr>
                    <w:jc w:val="center"/>
                    <w:rPr>
                      <w:rFonts w:ascii="宋体" w:hAnsi="宋体"/>
                      <w:bCs/>
                      <w:color w:val="auto"/>
                      <w:szCs w:val="21"/>
                    </w:rPr>
                  </w:pPr>
                  <w:r>
                    <w:rPr>
                      <w:rFonts w:hint="eastAsia" w:ascii="宋体" w:hAnsi="宋体"/>
                      <w:bCs/>
                      <w:color w:val="auto"/>
                      <w:szCs w:val="21"/>
                    </w:rPr>
                    <w:t>单位</w:t>
                  </w:r>
                </w:p>
              </w:tc>
              <w:tc>
                <w:tcPr>
                  <w:tcW w:w="582" w:type="pct"/>
                  <w:vAlign w:val="center"/>
                </w:tcPr>
                <w:p>
                  <w:pPr>
                    <w:jc w:val="center"/>
                    <w:rPr>
                      <w:rFonts w:hAnsi="宋体"/>
                      <w:bCs/>
                      <w:color w:val="auto"/>
                      <w:szCs w:val="21"/>
                    </w:rPr>
                  </w:pPr>
                  <w:r>
                    <w:rPr>
                      <w:rFonts w:hint="eastAsia" w:hAnsi="宋体"/>
                      <w:bCs/>
                      <w:color w:val="auto"/>
                      <w:szCs w:val="21"/>
                    </w:rPr>
                    <w:t>用量</w:t>
                  </w:r>
                </w:p>
              </w:tc>
              <w:tc>
                <w:tcPr>
                  <w:tcW w:w="710" w:type="pct"/>
                  <w:vAlign w:val="center"/>
                </w:tcPr>
                <w:p>
                  <w:pPr>
                    <w:jc w:val="center"/>
                    <w:rPr>
                      <w:rFonts w:hAnsi="宋体"/>
                      <w:bCs/>
                      <w:color w:val="auto"/>
                      <w:szCs w:val="21"/>
                    </w:rPr>
                  </w:pPr>
                  <w:r>
                    <w:rPr>
                      <w:rFonts w:hint="eastAsia" w:hAnsi="宋体"/>
                      <w:bCs/>
                      <w:color w:val="auto"/>
                      <w:szCs w:val="21"/>
                    </w:rPr>
                    <w:t>存放位置</w:t>
                  </w:r>
                </w:p>
              </w:tc>
              <w:tc>
                <w:tcPr>
                  <w:tcW w:w="1103" w:type="pct"/>
                  <w:vAlign w:val="center"/>
                </w:tcPr>
                <w:p>
                  <w:pPr>
                    <w:jc w:val="center"/>
                    <w:rPr>
                      <w:rFonts w:hAnsi="宋体"/>
                      <w:bCs/>
                      <w:color w:val="auto"/>
                      <w:szCs w:val="21"/>
                    </w:rPr>
                  </w:pPr>
                  <w:r>
                    <w:rPr>
                      <w:rFonts w:hint="eastAsia" w:hAnsi="宋体"/>
                      <w:bCs/>
                      <w:color w:val="auto"/>
                      <w:szCs w:val="21"/>
                    </w:rPr>
                    <w:t>存放方式</w:t>
                  </w:r>
                </w:p>
              </w:tc>
              <w:tc>
                <w:tcPr>
                  <w:tcW w:w="741" w:type="pct"/>
                  <w:vAlign w:val="center"/>
                </w:tcPr>
                <w:p>
                  <w:pPr>
                    <w:jc w:val="center"/>
                    <w:rPr>
                      <w:rFonts w:hAnsi="宋体"/>
                      <w:bCs/>
                      <w:color w:val="auto"/>
                      <w:szCs w:val="21"/>
                    </w:rPr>
                  </w:pPr>
                  <w:r>
                    <w:rPr>
                      <w:rFonts w:hint="eastAsia" w:hAnsi="宋体"/>
                      <w:bCs/>
                      <w:color w:val="auto"/>
                      <w:szCs w:val="21"/>
                    </w:rPr>
                    <w:t>备注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4" w:hRule="atLeast"/>
              </w:trPr>
              <w:tc>
                <w:tcPr>
                  <w:tcW w:w="473" w:type="pct"/>
                  <w:vAlign w:val="center"/>
                </w:tcPr>
                <w:p>
                  <w:pPr>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883" w:type="pct"/>
                  <w:vAlign w:val="center"/>
                </w:tcPr>
                <w:p>
                  <w:pPr>
                    <w:jc w:val="center"/>
                    <w:rPr>
                      <w:rFonts w:ascii="宋体" w:hAnsi="宋体"/>
                      <w:bCs/>
                      <w:color w:val="auto"/>
                      <w:szCs w:val="21"/>
                    </w:rPr>
                  </w:pPr>
                  <w:r>
                    <w:rPr>
                      <w:rFonts w:hint="eastAsia" w:ascii="宋体" w:hAnsi="宋体"/>
                      <w:bCs/>
                      <w:color w:val="auto"/>
                      <w:szCs w:val="21"/>
                    </w:rPr>
                    <w:t>聚苯乙烯</w:t>
                  </w:r>
                </w:p>
              </w:tc>
              <w:tc>
                <w:tcPr>
                  <w:tcW w:w="506" w:type="pct"/>
                  <w:vAlign w:val="center"/>
                </w:tcPr>
                <w:p>
                  <w:pPr>
                    <w:jc w:val="center"/>
                    <w:rPr>
                      <w:bCs/>
                      <w:color w:val="auto"/>
                      <w:szCs w:val="21"/>
                    </w:rPr>
                  </w:pPr>
                  <w:r>
                    <w:rPr>
                      <w:bCs/>
                      <w:color w:val="auto"/>
                      <w:szCs w:val="21"/>
                    </w:rPr>
                    <w:t>t/a</w:t>
                  </w:r>
                </w:p>
              </w:tc>
              <w:tc>
                <w:tcPr>
                  <w:tcW w:w="582" w:type="pct"/>
                  <w:vAlign w:val="center"/>
                </w:tcPr>
                <w:p>
                  <w:pPr>
                    <w:jc w:val="center"/>
                    <w:rPr>
                      <w:rFonts w:hAnsi="宋体"/>
                      <w:bCs/>
                      <w:color w:val="auto"/>
                      <w:szCs w:val="21"/>
                    </w:rPr>
                  </w:pPr>
                  <w:r>
                    <w:rPr>
                      <w:rFonts w:hint="eastAsia" w:hAnsi="宋体"/>
                      <w:bCs/>
                      <w:color w:val="auto"/>
                      <w:szCs w:val="21"/>
                    </w:rPr>
                    <w:t>60</w:t>
                  </w:r>
                </w:p>
              </w:tc>
              <w:tc>
                <w:tcPr>
                  <w:tcW w:w="710" w:type="pct"/>
                  <w:vMerge w:val="restart"/>
                  <w:vAlign w:val="center"/>
                </w:tcPr>
                <w:p>
                  <w:pPr>
                    <w:jc w:val="center"/>
                    <w:rPr>
                      <w:rFonts w:hAnsi="宋体"/>
                      <w:bCs/>
                      <w:color w:val="auto"/>
                      <w:szCs w:val="21"/>
                    </w:rPr>
                  </w:pPr>
                  <w:r>
                    <w:rPr>
                      <w:rFonts w:hint="eastAsia" w:hAnsi="宋体"/>
                      <w:bCs/>
                      <w:color w:val="auto"/>
                      <w:szCs w:val="21"/>
                    </w:rPr>
                    <w:t>厂区内空闲地</w:t>
                  </w:r>
                </w:p>
              </w:tc>
              <w:tc>
                <w:tcPr>
                  <w:tcW w:w="1103" w:type="pct"/>
                  <w:vMerge w:val="restart"/>
                  <w:vAlign w:val="center"/>
                </w:tcPr>
                <w:p>
                  <w:pPr>
                    <w:jc w:val="center"/>
                    <w:rPr>
                      <w:rFonts w:hAnsi="宋体"/>
                      <w:bCs/>
                      <w:color w:val="auto"/>
                      <w:szCs w:val="21"/>
                    </w:rPr>
                  </w:pPr>
                  <w:r>
                    <w:rPr>
                      <w:rFonts w:hint="eastAsia" w:hAnsi="宋体"/>
                      <w:bCs/>
                      <w:color w:val="auto"/>
                      <w:szCs w:val="21"/>
                      <w:lang w:eastAsia="zh-CN"/>
                    </w:rPr>
                    <w:t>袋装，</w:t>
                  </w:r>
                  <w:r>
                    <w:rPr>
                      <w:rFonts w:hint="eastAsia" w:hAnsi="宋体"/>
                      <w:bCs/>
                      <w:color w:val="auto"/>
                      <w:szCs w:val="21"/>
                    </w:rPr>
                    <w:t>露天堆放（苫盖）</w:t>
                  </w:r>
                </w:p>
              </w:tc>
              <w:tc>
                <w:tcPr>
                  <w:tcW w:w="741" w:type="pct"/>
                  <w:vAlign w:val="center"/>
                </w:tcPr>
                <w:p>
                  <w:pPr>
                    <w:jc w:val="center"/>
                    <w:rPr>
                      <w:rFonts w:hAnsi="宋体"/>
                      <w:bCs/>
                      <w:color w:val="auto"/>
                      <w:szCs w:val="21"/>
                    </w:rPr>
                  </w:pPr>
                  <w:r>
                    <w:rPr>
                      <w:rFonts w:hint="eastAsia" w:hAnsi="宋体"/>
                      <w:bCs/>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16" w:hRule="atLeast"/>
              </w:trPr>
              <w:tc>
                <w:tcPr>
                  <w:tcW w:w="473" w:type="pct"/>
                  <w:vAlign w:val="center"/>
                </w:tcPr>
                <w:p>
                  <w:pPr>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883" w:type="pct"/>
                  <w:vAlign w:val="center"/>
                </w:tcPr>
                <w:p>
                  <w:pPr>
                    <w:jc w:val="center"/>
                    <w:rPr>
                      <w:rFonts w:ascii="宋体" w:hAnsi="宋体"/>
                      <w:bCs/>
                      <w:color w:val="auto"/>
                      <w:szCs w:val="21"/>
                    </w:rPr>
                  </w:pPr>
                  <w:r>
                    <w:rPr>
                      <w:rFonts w:hint="eastAsia" w:ascii="宋体" w:hAnsi="宋体"/>
                      <w:bCs/>
                      <w:color w:val="auto"/>
                      <w:szCs w:val="21"/>
                    </w:rPr>
                    <w:t>固化剂</w:t>
                  </w:r>
                </w:p>
              </w:tc>
              <w:tc>
                <w:tcPr>
                  <w:tcW w:w="506" w:type="pct"/>
                  <w:vAlign w:val="center"/>
                </w:tcPr>
                <w:p>
                  <w:pPr>
                    <w:jc w:val="center"/>
                    <w:rPr>
                      <w:bCs/>
                      <w:color w:val="auto"/>
                      <w:szCs w:val="21"/>
                    </w:rPr>
                  </w:pPr>
                  <w:r>
                    <w:rPr>
                      <w:bCs/>
                      <w:color w:val="auto"/>
                      <w:szCs w:val="21"/>
                    </w:rPr>
                    <w:t>t/a</w:t>
                  </w:r>
                </w:p>
              </w:tc>
              <w:tc>
                <w:tcPr>
                  <w:tcW w:w="582" w:type="pct"/>
                  <w:vAlign w:val="center"/>
                </w:tcPr>
                <w:p>
                  <w:pPr>
                    <w:jc w:val="center"/>
                    <w:rPr>
                      <w:rFonts w:hAnsi="宋体"/>
                      <w:bCs/>
                      <w:color w:val="auto"/>
                      <w:szCs w:val="21"/>
                    </w:rPr>
                  </w:pPr>
                  <w:r>
                    <w:rPr>
                      <w:rFonts w:hint="eastAsia" w:hAnsi="宋体"/>
                      <w:bCs/>
                      <w:color w:val="auto"/>
                      <w:szCs w:val="21"/>
                    </w:rPr>
                    <w:t>8.6</w:t>
                  </w:r>
                </w:p>
              </w:tc>
              <w:tc>
                <w:tcPr>
                  <w:tcW w:w="710" w:type="pct"/>
                  <w:vMerge w:val="continue"/>
                  <w:vAlign w:val="center"/>
                </w:tcPr>
                <w:p>
                  <w:pPr>
                    <w:jc w:val="center"/>
                    <w:rPr>
                      <w:rFonts w:ascii="宋体" w:hAnsi="宋体"/>
                      <w:bCs/>
                      <w:color w:val="auto"/>
                      <w:szCs w:val="21"/>
                    </w:rPr>
                  </w:pPr>
                </w:p>
              </w:tc>
              <w:tc>
                <w:tcPr>
                  <w:tcW w:w="1103" w:type="pct"/>
                  <w:vMerge w:val="continue"/>
                  <w:vAlign w:val="center"/>
                </w:tcPr>
                <w:p>
                  <w:pPr>
                    <w:jc w:val="center"/>
                    <w:rPr>
                      <w:rFonts w:hAnsi="宋体"/>
                      <w:bCs/>
                      <w:color w:val="auto"/>
                      <w:szCs w:val="21"/>
                    </w:rPr>
                  </w:pPr>
                </w:p>
              </w:tc>
              <w:tc>
                <w:tcPr>
                  <w:tcW w:w="741" w:type="pct"/>
                  <w:vAlign w:val="center"/>
                </w:tcPr>
                <w:p>
                  <w:pPr>
                    <w:jc w:val="center"/>
                    <w:rPr>
                      <w:rFonts w:ascii="宋体" w:hAnsi="宋体"/>
                      <w:bCs/>
                      <w:color w:val="auto"/>
                      <w:szCs w:val="21"/>
                    </w:rPr>
                  </w:pPr>
                  <w:r>
                    <w:rPr>
                      <w:rFonts w:hint="eastAsia" w:hAnsi="宋体"/>
                      <w:bCs/>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04" w:hRule="atLeast"/>
              </w:trPr>
              <w:tc>
                <w:tcPr>
                  <w:tcW w:w="473" w:type="pct"/>
                  <w:vAlign w:val="center"/>
                </w:tcPr>
                <w:p>
                  <w:pPr>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883" w:type="pct"/>
                  <w:vAlign w:val="center"/>
                </w:tcPr>
                <w:p>
                  <w:pPr>
                    <w:jc w:val="center"/>
                    <w:rPr>
                      <w:rFonts w:ascii="宋体" w:hAnsi="宋体"/>
                      <w:bCs/>
                      <w:color w:val="auto"/>
                      <w:szCs w:val="21"/>
                    </w:rPr>
                  </w:pPr>
                  <w:r>
                    <w:rPr>
                      <w:rFonts w:hint="eastAsia" w:ascii="宋体" w:hAnsi="宋体"/>
                      <w:bCs/>
                      <w:color w:val="auto"/>
                      <w:szCs w:val="21"/>
                    </w:rPr>
                    <w:t>阻燃胶</w:t>
                  </w:r>
                </w:p>
              </w:tc>
              <w:tc>
                <w:tcPr>
                  <w:tcW w:w="506" w:type="pct"/>
                  <w:vAlign w:val="center"/>
                </w:tcPr>
                <w:p>
                  <w:pPr>
                    <w:jc w:val="center"/>
                    <w:rPr>
                      <w:bCs/>
                      <w:color w:val="auto"/>
                      <w:szCs w:val="21"/>
                    </w:rPr>
                  </w:pPr>
                  <w:r>
                    <w:rPr>
                      <w:bCs/>
                      <w:color w:val="auto"/>
                      <w:szCs w:val="21"/>
                    </w:rPr>
                    <w:t>t/a</w:t>
                  </w:r>
                </w:p>
              </w:tc>
              <w:tc>
                <w:tcPr>
                  <w:tcW w:w="582" w:type="pct"/>
                  <w:vAlign w:val="center"/>
                </w:tcPr>
                <w:p>
                  <w:pPr>
                    <w:jc w:val="center"/>
                    <w:rPr>
                      <w:rFonts w:hAnsi="宋体"/>
                      <w:bCs/>
                      <w:color w:val="auto"/>
                      <w:szCs w:val="21"/>
                    </w:rPr>
                  </w:pPr>
                  <w:r>
                    <w:rPr>
                      <w:rFonts w:hint="eastAsia" w:hAnsi="宋体"/>
                      <w:bCs/>
                      <w:color w:val="auto"/>
                      <w:szCs w:val="21"/>
                    </w:rPr>
                    <w:t>330</w:t>
                  </w:r>
                </w:p>
              </w:tc>
              <w:tc>
                <w:tcPr>
                  <w:tcW w:w="710" w:type="pct"/>
                  <w:vMerge w:val="continue"/>
                  <w:vAlign w:val="center"/>
                </w:tcPr>
                <w:p>
                  <w:pPr>
                    <w:jc w:val="center"/>
                    <w:rPr>
                      <w:rFonts w:ascii="宋体" w:hAnsi="宋体"/>
                      <w:bCs/>
                      <w:color w:val="auto"/>
                      <w:szCs w:val="21"/>
                    </w:rPr>
                  </w:pPr>
                </w:p>
              </w:tc>
              <w:tc>
                <w:tcPr>
                  <w:tcW w:w="1103" w:type="pct"/>
                  <w:vMerge w:val="continue"/>
                  <w:vAlign w:val="center"/>
                </w:tcPr>
                <w:p>
                  <w:pPr>
                    <w:jc w:val="center"/>
                    <w:rPr>
                      <w:rFonts w:hAnsi="宋体"/>
                      <w:bCs/>
                      <w:color w:val="auto"/>
                      <w:szCs w:val="21"/>
                    </w:rPr>
                  </w:pPr>
                </w:p>
              </w:tc>
              <w:tc>
                <w:tcPr>
                  <w:tcW w:w="741" w:type="pct"/>
                  <w:vAlign w:val="center"/>
                </w:tcPr>
                <w:p>
                  <w:pPr>
                    <w:jc w:val="center"/>
                    <w:rPr>
                      <w:rFonts w:ascii="宋体" w:hAnsi="宋体"/>
                      <w:bCs/>
                      <w:color w:val="auto"/>
                      <w:szCs w:val="21"/>
                    </w:rPr>
                  </w:pPr>
                  <w:r>
                    <w:rPr>
                      <w:rFonts w:hint="eastAsia" w:hAnsi="宋体"/>
                      <w:bCs/>
                      <w:color w:val="auto"/>
                      <w:szCs w:val="21"/>
                    </w:rPr>
                    <w:t>外购</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54" w:hRule="atLeast"/>
              </w:trPr>
              <w:tc>
                <w:tcPr>
                  <w:tcW w:w="473" w:type="pct"/>
                  <w:vAlign w:val="center"/>
                </w:tcPr>
                <w:p>
                  <w:pPr>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4</w:t>
                  </w:r>
                </w:p>
              </w:tc>
              <w:tc>
                <w:tcPr>
                  <w:tcW w:w="883" w:type="pct"/>
                  <w:vAlign w:val="center"/>
                </w:tcPr>
                <w:p>
                  <w:pPr>
                    <w:jc w:val="center"/>
                    <w:rPr>
                      <w:rFonts w:ascii="宋体" w:hAnsi="宋体"/>
                      <w:bCs/>
                      <w:color w:val="auto"/>
                      <w:szCs w:val="21"/>
                    </w:rPr>
                  </w:pPr>
                  <w:r>
                    <w:rPr>
                      <w:rFonts w:hint="eastAsia" w:ascii="宋体" w:hAnsi="宋体"/>
                      <w:bCs/>
                      <w:color w:val="auto"/>
                      <w:szCs w:val="21"/>
                    </w:rPr>
                    <w:t>生物质颗粒</w:t>
                  </w:r>
                </w:p>
              </w:tc>
              <w:tc>
                <w:tcPr>
                  <w:tcW w:w="506" w:type="pct"/>
                  <w:vAlign w:val="center"/>
                </w:tcPr>
                <w:p>
                  <w:pPr>
                    <w:jc w:val="center"/>
                    <w:rPr>
                      <w:bCs/>
                      <w:color w:val="auto"/>
                      <w:szCs w:val="21"/>
                    </w:rPr>
                  </w:pPr>
                  <w:r>
                    <w:rPr>
                      <w:bCs/>
                      <w:color w:val="auto"/>
                      <w:szCs w:val="21"/>
                    </w:rPr>
                    <w:t>t/a</w:t>
                  </w:r>
                </w:p>
              </w:tc>
              <w:tc>
                <w:tcPr>
                  <w:tcW w:w="582" w:type="pct"/>
                  <w:vAlign w:val="center"/>
                </w:tcPr>
                <w:p>
                  <w:pPr>
                    <w:jc w:val="center"/>
                    <w:rPr>
                      <w:rFonts w:hAnsi="宋体"/>
                      <w:bCs/>
                      <w:color w:val="auto"/>
                      <w:szCs w:val="21"/>
                    </w:rPr>
                  </w:pPr>
                  <w:r>
                    <w:rPr>
                      <w:rFonts w:hint="eastAsia" w:hAnsi="宋体"/>
                      <w:bCs/>
                      <w:color w:val="auto"/>
                      <w:szCs w:val="21"/>
                    </w:rPr>
                    <w:t>250</w:t>
                  </w:r>
                </w:p>
              </w:tc>
              <w:tc>
                <w:tcPr>
                  <w:tcW w:w="710" w:type="pct"/>
                  <w:vMerge w:val="continue"/>
                  <w:vAlign w:val="center"/>
                </w:tcPr>
                <w:p>
                  <w:pPr>
                    <w:jc w:val="center"/>
                    <w:rPr>
                      <w:rFonts w:ascii="宋体" w:hAnsi="宋体"/>
                      <w:bCs/>
                      <w:color w:val="auto"/>
                      <w:szCs w:val="21"/>
                    </w:rPr>
                  </w:pPr>
                </w:p>
              </w:tc>
              <w:tc>
                <w:tcPr>
                  <w:tcW w:w="1103" w:type="pct"/>
                  <w:vMerge w:val="continue"/>
                  <w:vAlign w:val="center"/>
                </w:tcPr>
                <w:p>
                  <w:pPr>
                    <w:jc w:val="center"/>
                    <w:rPr>
                      <w:rFonts w:hAnsi="宋体"/>
                      <w:bCs/>
                      <w:color w:val="auto"/>
                      <w:szCs w:val="21"/>
                    </w:rPr>
                  </w:pPr>
                </w:p>
              </w:tc>
              <w:tc>
                <w:tcPr>
                  <w:tcW w:w="741" w:type="pct"/>
                  <w:vAlign w:val="center"/>
                </w:tcPr>
                <w:p>
                  <w:pPr>
                    <w:jc w:val="center"/>
                    <w:rPr>
                      <w:rFonts w:ascii="宋体" w:hAnsi="宋体"/>
                      <w:bCs/>
                      <w:color w:val="auto"/>
                      <w:szCs w:val="21"/>
                    </w:rPr>
                  </w:pPr>
                  <w:r>
                    <w:rPr>
                      <w:rFonts w:hint="eastAsia" w:hAnsi="宋体"/>
                      <w:bCs/>
                      <w:color w:val="auto"/>
                      <w:szCs w:val="21"/>
                    </w:rPr>
                    <w:t>外购</w:t>
                  </w:r>
                </w:p>
              </w:tc>
            </w:tr>
          </w:tbl>
          <w:p>
            <w:pPr>
              <w:adjustRightInd w:val="0"/>
              <w:snapToGrid w:val="0"/>
              <w:spacing w:line="520" w:lineRule="exact"/>
              <w:ind w:firstLine="560" w:firstLineChars="200"/>
              <w:rPr>
                <w:bCs/>
                <w:color w:val="auto"/>
                <w:sz w:val="28"/>
                <w:szCs w:val="28"/>
              </w:rPr>
            </w:pPr>
            <w:r>
              <w:rPr>
                <w:rFonts w:hint="eastAsia"/>
                <w:bCs/>
                <w:color w:val="auto"/>
                <w:sz w:val="28"/>
                <w:szCs w:val="28"/>
              </w:rPr>
              <w:t>主要原辅材料理化性质：聚苯乙烯：聚苯乙烯是指有苯乙烯单体经自由基缩聚反应合成的聚合物，通式是[(CH</w:t>
            </w:r>
            <w:r>
              <w:rPr>
                <w:rFonts w:hint="eastAsia"/>
                <w:bCs/>
                <w:color w:val="auto"/>
                <w:sz w:val="28"/>
                <w:szCs w:val="28"/>
                <w:vertAlign w:val="subscript"/>
              </w:rPr>
              <w:t>2</w:t>
            </w:r>
            <w:r>
              <w:rPr>
                <w:rFonts w:hint="eastAsia"/>
                <w:bCs/>
                <w:color w:val="auto"/>
                <w:sz w:val="28"/>
                <w:szCs w:val="28"/>
              </w:rPr>
              <w:t>CHC</w:t>
            </w:r>
            <w:r>
              <w:rPr>
                <w:rFonts w:hint="eastAsia"/>
                <w:bCs/>
                <w:color w:val="auto"/>
                <w:sz w:val="28"/>
                <w:szCs w:val="28"/>
                <w:vertAlign w:val="subscript"/>
              </w:rPr>
              <w:t>6</w:t>
            </w:r>
            <w:r>
              <w:rPr>
                <w:rFonts w:hint="eastAsia"/>
                <w:bCs/>
                <w:color w:val="auto"/>
                <w:sz w:val="28"/>
                <w:szCs w:val="28"/>
              </w:rPr>
              <w:t>H</w:t>
            </w:r>
            <w:r>
              <w:rPr>
                <w:rFonts w:hint="eastAsia"/>
                <w:bCs/>
                <w:color w:val="auto"/>
                <w:sz w:val="28"/>
                <w:szCs w:val="28"/>
                <w:vertAlign w:val="subscript"/>
              </w:rPr>
              <w:t>5</w:t>
            </w:r>
            <w:r>
              <w:rPr>
                <w:rFonts w:hint="eastAsia"/>
                <w:bCs/>
                <w:color w:val="auto"/>
                <w:sz w:val="28"/>
                <w:szCs w:val="28"/>
              </w:rPr>
              <w:t>)n]，包括普通聚苯乙烯（GPPS），聚苯乙烯、可发性聚苯乙烯（EPS</w:t>
            </w:r>
            <w:r>
              <w:rPr>
                <w:rFonts w:hint="eastAsia"/>
                <w:bCs/>
                <w:color w:val="auto"/>
                <w:sz w:val="28"/>
                <w:szCs w:val="28"/>
                <w:lang w:eastAsia="zh-CN"/>
              </w:rPr>
              <w:t>）</w:t>
            </w:r>
            <w:r>
              <w:rPr>
                <w:rFonts w:hint="eastAsia"/>
                <w:bCs/>
                <w:color w:val="auto"/>
                <w:sz w:val="28"/>
                <w:szCs w:val="28"/>
              </w:rPr>
              <w:t>，高抗冲聚苯乙烯（HIPS）及间规聚苯乙烯（SPS）。玻璃化温度 80～90℃，非晶态密度1.04～1.06g/cm</w:t>
            </w:r>
            <w:r>
              <w:rPr>
                <w:rFonts w:hint="eastAsia"/>
                <w:bCs/>
                <w:color w:val="auto"/>
                <w:sz w:val="28"/>
                <w:szCs w:val="28"/>
                <w:vertAlign w:val="superscript"/>
              </w:rPr>
              <w:t>3</w:t>
            </w:r>
            <w:r>
              <w:rPr>
                <w:rFonts w:hint="eastAsia"/>
                <w:bCs/>
                <w:color w:val="auto"/>
                <w:sz w:val="28"/>
                <w:szCs w:val="28"/>
              </w:rPr>
              <w:t>，晶体密度1.11～1.12g/cm</w:t>
            </w:r>
            <w:r>
              <w:rPr>
                <w:rFonts w:hint="eastAsia"/>
                <w:bCs/>
                <w:color w:val="auto"/>
                <w:sz w:val="28"/>
                <w:szCs w:val="28"/>
                <w:vertAlign w:val="superscript"/>
              </w:rPr>
              <w:t>3</w:t>
            </w:r>
            <w:r>
              <w:rPr>
                <w:rFonts w:hint="eastAsia"/>
                <w:bCs/>
                <w:color w:val="auto"/>
                <w:sz w:val="28"/>
                <w:szCs w:val="28"/>
              </w:rPr>
              <w:t>，熔融温度240℃，电阻率为1020～1022欧·厘米。导热系数30℃时0.116瓦/</w:t>
            </w:r>
            <w:r>
              <w:rPr>
                <w:rFonts w:hint="eastAsia"/>
                <w:bCs/>
                <w:color w:val="auto"/>
                <w:sz w:val="28"/>
                <w:szCs w:val="28"/>
                <w:lang w:eastAsia="zh-CN"/>
              </w:rPr>
              <w:t>（</w:t>
            </w:r>
            <w:r>
              <w:rPr>
                <w:rFonts w:hint="eastAsia"/>
                <w:bCs/>
                <w:color w:val="auto"/>
                <w:sz w:val="28"/>
                <w:szCs w:val="28"/>
              </w:rPr>
              <w:t>米·开</w:t>
            </w:r>
            <w:r>
              <w:rPr>
                <w:rFonts w:hint="eastAsia"/>
                <w:bCs/>
                <w:color w:val="auto"/>
                <w:sz w:val="28"/>
                <w:szCs w:val="28"/>
                <w:lang w:eastAsia="zh-CN"/>
              </w:rPr>
              <w:t>）</w:t>
            </w:r>
            <w:r>
              <w:rPr>
                <w:rFonts w:hint="eastAsia"/>
                <w:bCs/>
                <w:color w:val="auto"/>
                <w:sz w:val="28"/>
                <w:szCs w:val="28"/>
              </w:rPr>
              <w:t>。通常的聚苯乙烯为非晶态无规聚合物，具有优良的绝热、绝缘和透明性，长期使用温度0～70℃，但脆，低温易开裂。此外还有全同和间同立构聚苯乙烯。全同聚合物有高度结晶性。</w:t>
            </w:r>
          </w:p>
          <w:p>
            <w:pPr>
              <w:adjustRightInd w:val="0"/>
              <w:snapToGrid w:val="0"/>
              <w:spacing w:line="520" w:lineRule="exact"/>
              <w:ind w:firstLine="560" w:firstLineChars="200"/>
              <w:rPr>
                <w:bCs/>
                <w:color w:val="auto"/>
                <w:sz w:val="28"/>
                <w:szCs w:val="28"/>
              </w:rPr>
            </w:pPr>
            <w:r>
              <w:rPr>
                <w:bCs/>
                <w:color w:val="auto"/>
                <w:sz w:val="28"/>
                <w:szCs w:val="28"/>
              </w:rPr>
              <w:t>普通聚苯乙烯树脂属无定形高分子聚合物</w:t>
            </w:r>
            <w:r>
              <w:rPr>
                <w:rFonts w:hint="eastAsia"/>
                <w:bCs/>
                <w:color w:val="auto"/>
                <w:sz w:val="28"/>
                <w:szCs w:val="28"/>
              </w:rPr>
              <w:t>，</w:t>
            </w:r>
            <w:r>
              <w:rPr>
                <w:bCs/>
                <w:color w:val="auto"/>
                <w:sz w:val="28"/>
                <w:szCs w:val="28"/>
              </w:rPr>
              <w:t>聚苯乙烯大分子链的侧基为苯环，大体积侧基为苯环的无规排列决定了聚苯乙烯的物理化学性质，如透明度高、刚度大、玻璃化温度高</w:t>
            </w:r>
            <w:r>
              <w:rPr>
                <w:rFonts w:hint="eastAsia"/>
                <w:bCs/>
                <w:color w:val="auto"/>
                <w:sz w:val="28"/>
                <w:szCs w:val="28"/>
              </w:rPr>
              <w:t>，</w:t>
            </w:r>
            <w:r>
              <w:rPr>
                <w:bCs/>
                <w:color w:val="auto"/>
                <w:sz w:val="28"/>
                <w:szCs w:val="28"/>
              </w:rPr>
              <w:t>性脆等。可发性聚苯乙烯为在普通聚苯乙烯中浸渍低沸点的物理发泡剂制成</w:t>
            </w:r>
            <w:r>
              <w:rPr>
                <w:rFonts w:hint="eastAsia"/>
                <w:bCs/>
                <w:color w:val="auto"/>
                <w:sz w:val="28"/>
                <w:szCs w:val="28"/>
              </w:rPr>
              <w:t>，</w:t>
            </w:r>
            <w:r>
              <w:rPr>
                <w:bCs/>
                <w:color w:val="auto"/>
                <w:sz w:val="28"/>
                <w:szCs w:val="28"/>
              </w:rPr>
              <w:t>加工过程中受热发泡，专用于制作泡沫塑料产品。</w:t>
            </w:r>
          </w:p>
          <w:p>
            <w:pPr>
              <w:adjustRightInd w:val="0"/>
              <w:snapToGrid w:val="0"/>
              <w:spacing w:line="520" w:lineRule="exact"/>
              <w:ind w:firstLine="560" w:firstLineChars="200"/>
              <w:rPr>
                <w:bCs/>
                <w:color w:val="auto"/>
                <w:sz w:val="28"/>
                <w:szCs w:val="28"/>
              </w:rPr>
            </w:pPr>
            <w:r>
              <w:rPr>
                <w:bCs/>
                <w:color w:val="auto"/>
                <w:sz w:val="28"/>
                <w:szCs w:val="28"/>
              </w:rPr>
              <w:t>聚苯乙烯（PS）具有高于100℃的玻璃转化温度，因此经常被用来制作各种需要承受开水的温度的一次性容器，以及一次性泡沫饭盒等。普通聚苯乙烯树脂为无毒，无臭无色的透明颗粒，似玻璃状脆性材料，其制品具有极高的透明度，透光率可90%以上，电绝缘性能好，易着色，加工流动性好，刚性好及耐化学腐蚀性好等。普通</w:t>
            </w:r>
            <w:r>
              <w:rPr>
                <w:rFonts w:hint="eastAsia"/>
                <w:bCs/>
                <w:color w:val="auto"/>
                <w:sz w:val="28"/>
                <w:szCs w:val="28"/>
              </w:rPr>
              <w:t>聚苯乙烯的不足之处在于性脆，冲击强度低，易出现应力开裂，耐热性差及不耐沸水等。</w:t>
            </w:r>
          </w:p>
          <w:p>
            <w:pPr>
              <w:adjustRightInd w:val="0"/>
              <w:snapToGrid w:val="0"/>
              <w:spacing w:line="520" w:lineRule="exact"/>
              <w:rPr>
                <w:b/>
                <w:color w:val="auto"/>
                <w:sz w:val="28"/>
                <w:szCs w:val="28"/>
              </w:rPr>
            </w:pPr>
            <w:r>
              <w:rPr>
                <w:b/>
                <w:color w:val="auto"/>
                <w:sz w:val="28"/>
                <w:szCs w:val="28"/>
              </w:rPr>
              <w:t>2平面布置</w:t>
            </w:r>
          </w:p>
          <w:p>
            <w:pPr>
              <w:adjustRightInd w:val="0"/>
              <w:snapToGrid w:val="0"/>
              <w:spacing w:line="520" w:lineRule="exact"/>
              <w:ind w:firstLine="560" w:firstLineChars="200"/>
              <w:rPr>
                <w:rFonts w:hint="eastAsia" w:eastAsia="宋体"/>
                <w:bCs/>
                <w:color w:val="0000E1"/>
                <w:sz w:val="28"/>
                <w:szCs w:val="28"/>
                <w:lang w:eastAsia="zh-CN"/>
              </w:rPr>
            </w:pPr>
            <w:r>
              <w:rPr>
                <w:rFonts w:hint="eastAsia"/>
                <w:bCs/>
                <w:color w:val="0000E1"/>
                <w:sz w:val="28"/>
                <w:szCs w:val="28"/>
              </w:rPr>
              <w:t>本项目</w:t>
            </w:r>
            <w:r>
              <w:rPr>
                <w:rFonts w:hint="eastAsia"/>
                <w:bCs/>
                <w:color w:val="0000E1"/>
                <w:sz w:val="28"/>
                <w:szCs w:val="28"/>
                <w:lang w:eastAsia="zh-CN"/>
              </w:rPr>
              <w:t>地处</w:t>
            </w:r>
            <w:r>
              <w:rPr>
                <w:rFonts w:hint="eastAsia"/>
                <w:bCs/>
                <w:color w:val="0000E1"/>
                <w:sz w:val="28"/>
                <w:szCs w:val="28"/>
              </w:rPr>
              <w:t>巩留县县城北侧工业聚集区。位于巩留县恰甫其海路南侧</w:t>
            </w:r>
            <w:r>
              <w:rPr>
                <w:rFonts w:hint="eastAsia"/>
                <w:bCs/>
                <w:color w:val="0000E1"/>
                <w:sz w:val="28"/>
                <w:szCs w:val="28"/>
                <w:lang w:eastAsia="zh-CN"/>
              </w:rPr>
              <w:t>，文化路</w:t>
            </w:r>
            <w:r>
              <w:rPr>
                <w:rFonts w:hint="eastAsia"/>
                <w:bCs/>
                <w:color w:val="0000E1"/>
                <w:sz w:val="28"/>
                <w:szCs w:val="28"/>
              </w:rPr>
              <w:t>西侧，</w:t>
            </w:r>
            <w:r>
              <w:rPr>
                <w:rFonts w:hint="eastAsia"/>
                <w:bCs/>
                <w:color w:val="0000E1"/>
                <w:sz w:val="28"/>
                <w:szCs w:val="28"/>
                <w:lang w:eastAsia="zh-CN"/>
              </w:rPr>
              <w:t>项目区西侧为巩留县天汇商贸有限责任公司，北侧隔</w:t>
            </w:r>
            <w:r>
              <w:rPr>
                <w:rFonts w:hint="eastAsia"/>
                <w:bCs/>
                <w:color w:val="0000E1"/>
                <w:sz w:val="28"/>
                <w:szCs w:val="28"/>
              </w:rPr>
              <w:t>恰甫其海路</w:t>
            </w:r>
            <w:r>
              <w:rPr>
                <w:rFonts w:hint="eastAsia"/>
                <w:bCs/>
                <w:color w:val="0000E1"/>
                <w:sz w:val="28"/>
                <w:szCs w:val="28"/>
                <w:lang w:eastAsia="zh-CN"/>
              </w:rPr>
              <w:t>为巩留县粮食购销有限责任公司。</w:t>
            </w:r>
          </w:p>
          <w:p>
            <w:pPr>
              <w:adjustRightInd w:val="0"/>
              <w:snapToGrid w:val="0"/>
              <w:spacing w:line="520" w:lineRule="exact"/>
              <w:ind w:firstLine="560" w:firstLineChars="200"/>
              <w:rPr>
                <w:rFonts w:hint="eastAsia"/>
                <w:bCs/>
                <w:color w:val="auto"/>
                <w:sz w:val="28"/>
                <w:szCs w:val="28"/>
              </w:rPr>
            </w:pPr>
            <w:r>
              <w:rPr>
                <w:rFonts w:hint="eastAsia"/>
                <w:bCs/>
                <w:color w:val="auto"/>
                <w:sz w:val="28"/>
                <w:szCs w:val="28"/>
                <w:lang w:eastAsia="zh-CN"/>
              </w:rPr>
              <w:t>项目主出入口</w:t>
            </w:r>
            <w:r>
              <w:rPr>
                <w:rFonts w:hint="eastAsia"/>
                <w:bCs/>
                <w:color w:val="auto"/>
                <w:sz w:val="28"/>
                <w:szCs w:val="28"/>
              </w:rPr>
              <w:t>大门位于项目区东侧，大门北侧为</w:t>
            </w:r>
            <w:r>
              <w:rPr>
                <w:rFonts w:hint="eastAsia"/>
                <w:bCs/>
                <w:color w:val="auto"/>
                <w:sz w:val="28"/>
                <w:szCs w:val="28"/>
                <w:lang w:eastAsia="zh-CN"/>
              </w:rPr>
              <w:t>拟建包公楼及</w:t>
            </w:r>
            <w:r>
              <w:rPr>
                <w:rFonts w:hint="eastAsia"/>
                <w:bCs/>
                <w:color w:val="auto"/>
                <w:sz w:val="28"/>
                <w:szCs w:val="28"/>
              </w:rPr>
              <w:t>仓库，新建仓库北侧、项目区东北角为本项目办公区，项目西南侧为苯板生产车间，项目南侧为锅炉房，原料堆放场位于锅炉房与苯板生产车间之间（项目区南侧）。</w:t>
            </w:r>
          </w:p>
          <w:p>
            <w:pPr>
              <w:adjustRightInd w:val="0"/>
              <w:snapToGrid w:val="0"/>
              <w:spacing w:line="520" w:lineRule="exact"/>
              <w:ind w:firstLine="560" w:firstLineChars="200"/>
              <w:rPr>
                <w:rFonts w:hint="eastAsia" w:eastAsia="宋体"/>
                <w:bCs/>
                <w:color w:val="auto"/>
                <w:sz w:val="28"/>
                <w:szCs w:val="28"/>
                <w:lang w:eastAsia="zh-CN"/>
              </w:rPr>
            </w:pPr>
            <w:r>
              <w:rPr>
                <w:rFonts w:hint="eastAsia"/>
                <w:bCs/>
                <w:color w:val="auto"/>
                <w:sz w:val="28"/>
                <w:szCs w:val="28"/>
              </w:rPr>
              <w:t>项目西北角为众邦苯板厂租给巩留县久达鞋业公司厂房及其办公区，</w:t>
            </w:r>
            <w:r>
              <w:rPr>
                <w:rFonts w:hint="eastAsia"/>
                <w:bCs/>
                <w:color w:val="auto"/>
                <w:sz w:val="28"/>
                <w:szCs w:val="28"/>
                <w:lang w:eastAsia="zh-CN"/>
              </w:rPr>
              <w:t>东南角为洗衣房。均非本项目建设内容。</w:t>
            </w:r>
          </w:p>
          <w:p>
            <w:pPr>
              <w:adjustRightInd w:val="0"/>
              <w:snapToGrid w:val="0"/>
              <w:spacing w:line="520" w:lineRule="exact"/>
              <w:ind w:firstLine="560" w:firstLineChars="200"/>
              <w:rPr>
                <w:bCs/>
                <w:color w:val="auto"/>
                <w:sz w:val="28"/>
                <w:szCs w:val="28"/>
              </w:rPr>
            </w:pPr>
            <w:r>
              <w:rPr>
                <w:rFonts w:hint="eastAsia"/>
                <w:bCs/>
                <w:color w:val="auto"/>
                <w:sz w:val="28"/>
                <w:szCs w:val="28"/>
              </w:rPr>
              <w:t>项目区总</w:t>
            </w:r>
            <w:r>
              <w:rPr>
                <w:bCs/>
                <w:color w:val="auto"/>
                <w:sz w:val="28"/>
                <w:szCs w:val="28"/>
              </w:rPr>
              <w:t>平面布置见图2。</w:t>
            </w:r>
          </w:p>
          <w:p>
            <w:pPr>
              <w:adjustRightInd w:val="0"/>
              <w:snapToGrid w:val="0"/>
              <w:spacing w:line="520" w:lineRule="exact"/>
              <w:rPr>
                <w:b/>
                <w:color w:val="auto"/>
                <w:sz w:val="28"/>
                <w:szCs w:val="28"/>
              </w:rPr>
            </w:pPr>
            <w:r>
              <w:rPr>
                <w:b/>
                <w:color w:val="auto"/>
                <w:sz w:val="28"/>
                <w:szCs w:val="28"/>
              </w:rPr>
              <w:t>3劳动定员及工作制度</w:t>
            </w:r>
          </w:p>
          <w:p>
            <w:pPr>
              <w:adjustRightInd w:val="0"/>
              <w:snapToGrid w:val="0"/>
              <w:spacing w:line="520" w:lineRule="exact"/>
              <w:ind w:firstLine="560" w:firstLineChars="200"/>
              <w:rPr>
                <w:bCs/>
                <w:color w:val="auto"/>
                <w:sz w:val="28"/>
                <w:szCs w:val="28"/>
              </w:rPr>
            </w:pPr>
            <w:r>
              <w:rPr>
                <w:rFonts w:hint="eastAsia"/>
                <w:bCs/>
                <w:color w:val="auto"/>
                <w:sz w:val="28"/>
                <w:szCs w:val="28"/>
              </w:rPr>
              <w:t>项目定员8人，其中管理人员1人，年工作日为210天（冬季不生产），每天工作10小时，年工作时期为4月~10月。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7" w:type="dxa"/>
            <w:vAlign w:val="center"/>
          </w:tcPr>
          <w:p>
            <w:pPr>
              <w:pStyle w:val="15"/>
              <w:adjustRightInd w:val="0"/>
              <w:snapToGrid w:val="0"/>
              <w:spacing w:before="0" w:beforeAutospacing="0" w:after="0" w:afterAutospacing="0"/>
              <w:jc w:val="center"/>
              <w:rPr>
                <w:rFonts w:ascii="Times New Roman" w:hAnsi="Times New Roman" w:eastAsia="宋体" w:cs="Times New Roman"/>
                <w:color w:val="auto"/>
                <w:kern w:val="0"/>
                <w:sz w:val="28"/>
                <w:szCs w:val="28"/>
                <w:lang w:val="en-US" w:eastAsia="zh-CN" w:bidi="ar-SA"/>
              </w:rPr>
            </w:pPr>
            <w:r>
              <w:rPr>
                <w:rFonts w:ascii="Times New Roman" w:hAnsi="Times New Roman"/>
                <w:color w:val="auto"/>
                <w:sz w:val="28"/>
                <w:szCs w:val="28"/>
              </w:rPr>
              <w:t>工艺流程和产排污环节</w:t>
            </w:r>
          </w:p>
        </w:tc>
        <w:tc>
          <w:tcPr>
            <w:tcW w:w="7983" w:type="dxa"/>
            <w:vAlign w:val="top"/>
          </w:tcPr>
          <w:p>
            <w:pPr>
              <w:adjustRightInd w:val="0"/>
              <w:snapToGrid w:val="0"/>
              <w:spacing w:line="520" w:lineRule="exact"/>
              <w:rPr>
                <w:b/>
                <w:color w:val="auto"/>
                <w:sz w:val="28"/>
                <w:szCs w:val="28"/>
              </w:rPr>
            </w:pPr>
            <w:r>
              <w:rPr>
                <w:b/>
                <w:color w:val="auto"/>
                <w:sz w:val="28"/>
                <w:szCs w:val="28"/>
              </w:rPr>
              <w:t>1施工期</w:t>
            </w:r>
          </w:p>
          <w:p>
            <w:pPr>
              <w:adjustRightInd w:val="0"/>
              <w:snapToGrid w:val="0"/>
              <w:spacing w:line="520" w:lineRule="exact"/>
              <w:ind w:firstLine="560" w:firstLineChars="200"/>
              <w:rPr>
                <w:color w:val="auto"/>
                <w:sz w:val="28"/>
                <w:szCs w:val="28"/>
              </w:rPr>
            </w:pPr>
            <w:r>
              <w:rPr>
                <w:rFonts w:hint="eastAsia"/>
                <w:color w:val="auto"/>
                <w:sz w:val="28"/>
                <w:szCs w:val="28"/>
              </w:rPr>
              <w:t>本项目生产车间已于2017年建设完成，施工期对环境的影响已随施工结束而消失，本次施工期仅对未建区域</w:t>
            </w:r>
            <w:r>
              <w:rPr>
                <w:rFonts w:hint="eastAsia"/>
                <w:color w:val="auto"/>
                <w:sz w:val="28"/>
                <w:szCs w:val="28"/>
                <w:lang w:eastAsia="zh-CN"/>
              </w:rPr>
              <w:t>办公楼、成品仓库</w:t>
            </w:r>
            <w:r>
              <w:rPr>
                <w:rFonts w:hint="eastAsia"/>
                <w:color w:val="auto"/>
                <w:sz w:val="28"/>
                <w:szCs w:val="28"/>
              </w:rPr>
              <w:t>建设时产生的影响进行分析。</w:t>
            </w:r>
          </w:p>
          <w:p>
            <w:pPr>
              <w:adjustRightInd w:val="0"/>
              <w:snapToGrid w:val="0"/>
              <w:spacing w:line="520" w:lineRule="exact"/>
              <w:ind w:firstLine="560" w:firstLineChars="200"/>
              <w:rPr>
                <w:color w:val="auto"/>
                <w:sz w:val="28"/>
                <w:szCs w:val="28"/>
              </w:rPr>
            </w:pPr>
            <w:r>
              <w:rPr>
                <w:rFonts w:hint="eastAsia"/>
                <w:color w:val="auto"/>
                <w:sz w:val="28"/>
                <w:szCs w:val="28"/>
              </w:rPr>
              <w:t>项目施工期生产工艺流程及产污环节见图：</w:t>
            </w:r>
          </w:p>
          <w:p>
            <w:pPr>
              <w:pStyle w:val="17"/>
              <w:ind w:left="0" w:leftChars="0" w:firstLine="0" w:firstLineChars="0"/>
              <w:rPr>
                <w:color w:val="auto"/>
              </w:rPr>
            </w:pPr>
            <w:r>
              <w:rPr>
                <w:color w:val="auto"/>
              </w:rPr>
              <w:drawing>
                <wp:inline distT="0" distB="0" distL="114300" distR="114300">
                  <wp:extent cx="4889500" cy="1533525"/>
                  <wp:effectExtent l="0" t="0" r="0" b="0"/>
                  <wp:docPr id="6" name="ECB019B1-382A-4266-B25C-5B523AA43C14-1"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CB019B1-382A-4266-B25C-5B523AA43C14-1" descr="wps"/>
                          <pic:cNvPicPr>
                            <a:picLocks noChangeAspect="1"/>
                          </pic:cNvPicPr>
                        </pic:nvPicPr>
                        <pic:blipFill>
                          <a:blip r:embed="rId10"/>
                          <a:stretch>
                            <a:fillRect/>
                          </a:stretch>
                        </pic:blipFill>
                        <pic:spPr>
                          <a:xfrm>
                            <a:off x="0" y="0"/>
                            <a:ext cx="4889500" cy="1533525"/>
                          </a:xfrm>
                          <a:prstGeom prst="rect">
                            <a:avLst/>
                          </a:prstGeom>
                          <a:noFill/>
                          <a:ln>
                            <a:noFill/>
                          </a:ln>
                        </pic:spPr>
                      </pic:pic>
                    </a:graphicData>
                  </a:graphic>
                </wp:inline>
              </w:drawing>
            </w:r>
          </w:p>
          <w:p>
            <w:pPr>
              <w:adjustRightInd w:val="0"/>
              <w:snapToGrid w:val="0"/>
              <w:jc w:val="center"/>
              <w:rPr>
                <w:rFonts w:eastAsia="黑体"/>
                <w:bCs/>
                <w:color w:val="auto"/>
                <w:sz w:val="28"/>
                <w:szCs w:val="28"/>
              </w:rPr>
            </w:pPr>
            <w:r>
              <w:rPr>
                <w:rFonts w:eastAsia="黑体"/>
                <w:bCs/>
                <w:color w:val="auto"/>
                <w:sz w:val="24"/>
              </w:rPr>
              <w:t>框图</w:t>
            </w:r>
            <w:r>
              <w:rPr>
                <w:rFonts w:hint="eastAsia" w:eastAsia="黑体"/>
                <w:bCs/>
                <w:color w:val="auto"/>
                <w:sz w:val="24"/>
              </w:rPr>
              <w:t>1</w:t>
            </w:r>
            <w:r>
              <w:rPr>
                <w:rFonts w:eastAsia="黑体"/>
                <w:bCs/>
                <w:color w:val="auto"/>
                <w:sz w:val="24"/>
              </w:rPr>
              <w:t xml:space="preserve">  </w:t>
            </w:r>
            <w:r>
              <w:rPr>
                <w:rFonts w:hint="eastAsia" w:eastAsia="黑体"/>
                <w:bCs/>
                <w:color w:val="auto"/>
                <w:sz w:val="24"/>
              </w:rPr>
              <w:t>施工期工艺流程</w:t>
            </w:r>
          </w:p>
          <w:p>
            <w:pPr>
              <w:adjustRightInd w:val="0"/>
              <w:snapToGrid w:val="0"/>
              <w:spacing w:line="520" w:lineRule="exact"/>
              <w:ind w:firstLine="560" w:firstLineChars="200"/>
              <w:rPr>
                <w:rFonts w:hint="eastAsia"/>
                <w:color w:val="auto"/>
                <w:sz w:val="28"/>
                <w:szCs w:val="28"/>
              </w:rPr>
            </w:pPr>
            <w:r>
              <w:rPr>
                <w:rFonts w:hint="eastAsia"/>
                <w:color w:val="auto"/>
                <w:sz w:val="28"/>
                <w:szCs w:val="28"/>
              </w:rPr>
              <w:t>仓库位于项目区东北侧，占地面积为600m</w:t>
            </w:r>
            <w:r>
              <w:rPr>
                <w:rFonts w:hint="eastAsia"/>
                <w:color w:val="auto"/>
                <w:sz w:val="28"/>
                <w:szCs w:val="28"/>
                <w:vertAlign w:val="superscript"/>
              </w:rPr>
              <w:t>2</w:t>
            </w:r>
            <w:r>
              <w:rPr>
                <w:rFonts w:hint="eastAsia"/>
                <w:color w:val="auto"/>
                <w:sz w:val="28"/>
                <w:szCs w:val="28"/>
              </w:rPr>
              <w:t>，建设项目新建仓库施工期间会产生一定量的生活废水、生活垃圾、扬尘、建筑材料运输车辆的尾气和噪声等对当地环境造成一定的影响。施工建设完成后，对环境造成的影响将随施工期的结束而消失。</w:t>
            </w:r>
          </w:p>
          <w:p>
            <w:pPr>
              <w:adjustRightInd w:val="0"/>
              <w:snapToGrid w:val="0"/>
              <w:spacing w:line="520" w:lineRule="exact"/>
              <w:rPr>
                <w:b/>
                <w:color w:val="auto"/>
                <w:sz w:val="28"/>
                <w:szCs w:val="28"/>
              </w:rPr>
            </w:pPr>
            <w:r>
              <w:rPr>
                <w:b/>
                <w:color w:val="auto"/>
                <w:sz w:val="28"/>
                <w:szCs w:val="28"/>
              </w:rPr>
              <w:t>2运营期工艺流程</w:t>
            </w:r>
          </w:p>
          <w:p>
            <w:pPr>
              <w:adjustRightInd w:val="0"/>
              <w:snapToGrid w:val="0"/>
              <w:spacing w:line="520" w:lineRule="exact"/>
              <w:ind w:firstLine="560" w:firstLineChars="200"/>
              <w:rPr>
                <w:bCs/>
                <w:color w:val="auto"/>
                <w:sz w:val="28"/>
                <w:szCs w:val="28"/>
              </w:rPr>
            </w:pPr>
            <w:r>
              <w:rPr>
                <w:rFonts w:hint="eastAsia"/>
                <w:color w:val="auto"/>
                <w:sz w:val="28"/>
                <w:szCs w:val="28"/>
              </w:rPr>
              <w:t>本项目主要以聚苯乙烯为原料生产苯板，项目投产后可生产苯板5000m</w:t>
            </w:r>
            <w:r>
              <w:rPr>
                <w:rFonts w:hint="eastAsia"/>
                <w:color w:val="auto"/>
                <w:sz w:val="28"/>
                <w:szCs w:val="28"/>
                <w:vertAlign w:val="superscript"/>
              </w:rPr>
              <w:t>3</w:t>
            </w:r>
            <w:r>
              <w:rPr>
                <w:rFonts w:hint="eastAsia"/>
                <w:color w:val="auto"/>
                <w:sz w:val="28"/>
                <w:szCs w:val="28"/>
              </w:rPr>
              <w:t>/a。</w:t>
            </w:r>
            <w:r>
              <w:rPr>
                <w:bCs/>
                <w:color w:val="auto"/>
                <w:sz w:val="28"/>
                <w:szCs w:val="28"/>
              </w:rPr>
              <w:t>运营期</w:t>
            </w:r>
            <w:r>
              <w:rPr>
                <w:rFonts w:hint="eastAsia"/>
                <w:bCs/>
                <w:color w:val="auto"/>
                <w:sz w:val="28"/>
                <w:szCs w:val="28"/>
              </w:rPr>
              <w:t>苯板生产</w:t>
            </w:r>
            <w:r>
              <w:rPr>
                <w:bCs/>
                <w:color w:val="auto"/>
                <w:sz w:val="28"/>
                <w:szCs w:val="28"/>
              </w:rPr>
              <w:t>如下工艺</w:t>
            </w:r>
            <w:r>
              <w:rPr>
                <w:rFonts w:hint="eastAsia"/>
                <w:bCs/>
                <w:color w:val="auto"/>
                <w:sz w:val="28"/>
                <w:szCs w:val="28"/>
              </w:rPr>
              <w:t>及产污环节</w:t>
            </w:r>
            <w:r>
              <w:rPr>
                <w:bCs/>
                <w:color w:val="auto"/>
                <w:sz w:val="28"/>
                <w:szCs w:val="28"/>
              </w:rPr>
              <w:t>流程图：</w:t>
            </w:r>
          </w:p>
          <w:p>
            <w:pPr>
              <w:adjustRightInd w:val="0"/>
              <w:snapToGrid w:val="0"/>
              <w:rPr>
                <w:bCs/>
                <w:color w:val="auto"/>
                <w:sz w:val="28"/>
                <w:szCs w:val="28"/>
              </w:rPr>
            </w:pPr>
            <w:r>
              <w:rPr>
                <w:rFonts w:hint="eastAsia"/>
                <w:color w:val="auto"/>
                <w:sz w:val="28"/>
                <w:szCs w:val="28"/>
              </w:rPr>
              <w:drawing>
                <wp:inline distT="0" distB="0" distL="114300" distR="114300">
                  <wp:extent cx="4932045" cy="3509010"/>
                  <wp:effectExtent l="0" t="0" r="0" b="0"/>
                  <wp:docPr id="7" name="ECB019B1-382A-4266-B25C-5B523AA43C14-2" descr="C:/Users/Administrator/AppData/Local/Temp/wps.uZrpHM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CB019B1-382A-4266-B25C-5B523AA43C14-2" descr="C:/Users/Administrator/AppData/Local/Temp/wps.uZrpHMwps"/>
                          <pic:cNvPicPr>
                            <a:picLocks noChangeAspect="1"/>
                          </pic:cNvPicPr>
                        </pic:nvPicPr>
                        <pic:blipFill>
                          <a:blip r:embed="rId11"/>
                          <a:stretch>
                            <a:fillRect/>
                          </a:stretch>
                        </pic:blipFill>
                        <pic:spPr>
                          <a:xfrm>
                            <a:off x="0" y="0"/>
                            <a:ext cx="4932045" cy="3509010"/>
                          </a:xfrm>
                          <a:prstGeom prst="rect">
                            <a:avLst/>
                          </a:prstGeom>
                          <a:noFill/>
                          <a:ln>
                            <a:noFill/>
                          </a:ln>
                        </pic:spPr>
                      </pic:pic>
                    </a:graphicData>
                  </a:graphic>
                </wp:inline>
              </w:drawing>
            </w:r>
          </w:p>
          <w:p>
            <w:pPr>
              <w:adjustRightInd w:val="0"/>
              <w:snapToGrid w:val="0"/>
              <w:jc w:val="center"/>
              <w:rPr>
                <w:rFonts w:eastAsia="黑体"/>
                <w:bCs/>
                <w:color w:val="auto"/>
                <w:sz w:val="28"/>
                <w:szCs w:val="28"/>
              </w:rPr>
            </w:pPr>
            <w:r>
              <w:rPr>
                <w:rFonts w:eastAsia="黑体"/>
                <w:bCs/>
                <w:color w:val="auto"/>
                <w:sz w:val="24"/>
              </w:rPr>
              <w:t>框图2  运营期</w:t>
            </w:r>
            <w:r>
              <w:rPr>
                <w:rFonts w:hint="eastAsia" w:eastAsia="黑体"/>
                <w:bCs/>
                <w:color w:val="auto"/>
                <w:sz w:val="24"/>
              </w:rPr>
              <w:t>苯板生产工艺流程及产污环节</w:t>
            </w:r>
          </w:p>
          <w:p>
            <w:pPr>
              <w:numPr>
                <w:ilvl w:val="0"/>
                <w:numId w:val="2"/>
              </w:numPr>
              <w:adjustRightInd w:val="0"/>
              <w:snapToGrid w:val="0"/>
              <w:spacing w:line="520" w:lineRule="exact"/>
              <w:ind w:firstLine="560" w:firstLineChars="200"/>
              <w:rPr>
                <w:color w:val="auto"/>
                <w:sz w:val="28"/>
                <w:szCs w:val="28"/>
              </w:rPr>
            </w:pPr>
            <w:r>
              <w:rPr>
                <w:rFonts w:hint="eastAsia"/>
                <w:color w:val="auto"/>
                <w:sz w:val="28"/>
                <w:szCs w:val="28"/>
              </w:rPr>
              <w:t>发泡：首先需将原料可发性聚苯乙烯颗粒（EPS）加入发泡机进行预发泡</w:t>
            </w:r>
            <w:r>
              <w:rPr>
                <w:rFonts w:hint="eastAsia"/>
                <w:color w:val="auto"/>
                <w:sz w:val="28"/>
                <w:szCs w:val="28"/>
                <w:lang w:eastAsia="zh-CN"/>
              </w:rPr>
              <w:t>，发泡时间</w:t>
            </w:r>
            <w:r>
              <w:rPr>
                <w:rFonts w:hint="eastAsia"/>
                <w:color w:val="auto"/>
                <w:sz w:val="28"/>
                <w:szCs w:val="28"/>
                <w:lang w:val="en-US" w:eastAsia="zh-CN"/>
              </w:rPr>
              <w:t>3-5min</w:t>
            </w:r>
            <w:r>
              <w:rPr>
                <w:rFonts w:hint="eastAsia"/>
                <w:color w:val="auto"/>
                <w:sz w:val="28"/>
                <w:szCs w:val="28"/>
              </w:rPr>
              <w:t>。预发泡过程中，含有发泡剂的珠粒在80℃以前，并不会发泡，只是珠粒中的发泡剂向外扩散，此时珠粒还不会膨胀。当温度大于80℃，珠粒开始软化，分布在它内部的发泡剂受热，气化产生压力，导致珠粒开始膨胀并形成互不连通的泡孔。同时，蒸汽也渗入到这些泡孔中，增加了孔中总压力。随着时间的推移，蒸汽不断深入，压力也不断增大，珠粒的体积也不断增大，直至达到所需要体积的大颗粒。</w:t>
            </w:r>
          </w:p>
          <w:p>
            <w:pPr>
              <w:adjustRightInd w:val="0"/>
              <w:snapToGrid w:val="0"/>
              <w:spacing w:line="520" w:lineRule="exact"/>
              <w:ind w:firstLine="562" w:firstLineChars="200"/>
              <w:rPr>
                <w:color w:val="auto"/>
                <w:sz w:val="28"/>
                <w:szCs w:val="28"/>
              </w:rPr>
            </w:pPr>
            <w:r>
              <w:rPr>
                <w:rFonts w:hint="eastAsia"/>
                <w:b/>
                <w:bCs/>
                <w:color w:val="auto"/>
                <w:sz w:val="28"/>
                <w:szCs w:val="28"/>
              </w:rPr>
              <w:t>产排污环节：</w:t>
            </w:r>
            <w:r>
              <w:rPr>
                <w:rFonts w:hint="eastAsia"/>
                <w:color w:val="auto"/>
                <w:sz w:val="28"/>
                <w:szCs w:val="28"/>
              </w:rPr>
              <w:t>发泡过程中会产生非甲烷总烃等有机废气、噪声。</w:t>
            </w:r>
          </w:p>
          <w:p>
            <w:pPr>
              <w:numPr>
                <w:ilvl w:val="0"/>
                <w:numId w:val="2"/>
              </w:numPr>
              <w:adjustRightInd w:val="0"/>
              <w:snapToGrid w:val="0"/>
              <w:spacing w:line="520" w:lineRule="exact"/>
              <w:ind w:firstLine="560" w:firstLineChars="200"/>
              <w:rPr>
                <w:color w:val="auto"/>
                <w:sz w:val="28"/>
                <w:szCs w:val="28"/>
              </w:rPr>
            </w:pPr>
            <w:r>
              <w:rPr>
                <w:rFonts w:hint="eastAsia"/>
                <w:color w:val="auto"/>
                <w:sz w:val="28"/>
                <w:szCs w:val="28"/>
              </w:rPr>
              <w:t>熟化：将发泡后的聚苯乙烯颗粒物利用风机吹至料笼进行熟化，预发泡后，珠粒内产生真空，表面带有水分，不符合成型要求，必须要进行熟化，熟化过程是空气进入珠粒内，表面水分干燥的过程。熟化处理过程中，珠粒经过空气冷却，泡孔内的发泡剂和水蒸汽被冷凝成液体，使泡孔内形成了真空。同时，空气通过泡孔膜渗透到泡孔内部，使泡孔内的压力与外界压力平衡。这样会使预发后的珠粒具有弹性。熟化贮存过程中发泡剂也同时向外扩散，所以预发后的珠粒贮存期不要过长。</w:t>
            </w:r>
          </w:p>
          <w:p>
            <w:pPr>
              <w:adjustRightInd w:val="0"/>
              <w:snapToGrid w:val="0"/>
              <w:spacing w:line="520" w:lineRule="exact"/>
              <w:ind w:firstLine="562" w:firstLineChars="200"/>
              <w:rPr>
                <w:color w:val="auto"/>
                <w:sz w:val="28"/>
                <w:szCs w:val="28"/>
              </w:rPr>
            </w:pPr>
            <w:r>
              <w:rPr>
                <w:rFonts w:hint="eastAsia"/>
                <w:b/>
                <w:bCs/>
                <w:color w:val="auto"/>
                <w:sz w:val="28"/>
                <w:szCs w:val="28"/>
              </w:rPr>
              <w:t>产排污环节：</w:t>
            </w:r>
            <w:r>
              <w:rPr>
                <w:rFonts w:hint="eastAsia"/>
                <w:color w:val="auto"/>
                <w:sz w:val="28"/>
                <w:szCs w:val="28"/>
              </w:rPr>
              <w:t>熟化过程中会产生非甲烷总烃等工艺废气、噪声。</w:t>
            </w:r>
          </w:p>
          <w:p>
            <w:pPr>
              <w:numPr>
                <w:ilvl w:val="0"/>
                <w:numId w:val="2"/>
              </w:numPr>
              <w:adjustRightInd w:val="0"/>
              <w:snapToGrid w:val="0"/>
              <w:spacing w:line="520" w:lineRule="exact"/>
              <w:ind w:firstLine="560" w:firstLineChars="200"/>
              <w:rPr>
                <w:color w:val="auto"/>
                <w:sz w:val="28"/>
                <w:szCs w:val="28"/>
              </w:rPr>
            </w:pPr>
            <w:r>
              <w:rPr>
                <w:rFonts w:hint="eastAsia"/>
                <w:color w:val="auto"/>
                <w:sz w:val="28"/>
                <w:szCs w:val="28"/>
              </w:rPr>
              <w:t>空压成型：将熟化后的预发珠粒利用引风机吸入模具中，使用水蒸汽高温加热，约在20～60s的时间内，空气来不及逸出，受热膨胀后产生压力。此时聚合物软化，发泡剂气化后产生的压力和泡孔内空气产生的压力之和大于外界蒸汽压力，珠粒又再度膨胀，并胀满珠粒间隙而结成整块，形成与模具形状相同的泡沫塑料制品。10~20min后取出制品放至烘干室烘干3~5h，用吹风机吹风烘干，生产出规格为6m×1</w:t>
            </w:r>
            <w:r>
              <w:rPr>
                <w:rFonts w:hint="eastAsia"/>
                <w:color w:val="auto"/>
                <w:sz w:val="28"/>
                <w:szCs w:val="28"/>
                <w:lang w:val="en-US" w:eastAsia="zh-CN"/>
              </w:rPr>
              <w:t>.2</w:t>
            </w:r>
            <w:r>
              <w:rPr>
                <w:rFonts w:hint="eastAsia"/>
                <w:color w:val="auto"/>
                <w:sz w:val="28"/>
                <w:szCs w:val="28"/>
              </w:rPr>
              <w:t>m×</w:t>
            </w:r>
            <w:r>
              <w:rPr>
                <w:rFonts w:hint="eastAsia"/>
                <w:color w:val="auto"/>
                <w:sz w:val="28"/>
                <w:szCs w:val="28"/>
                <w:lang w:val="en-US" w:eastAsia="zh-CN"/>
              </w:rPr>
              <w:t>0.062</w:t>
            </w:r>
            <w:r>
              <w:rPr>
                <w:rFonts w:hint="eastAsia"/>
                <w:color w:val="auto"/>
                <w:sz w:val="28"/>
                <w:szCs w:val="28"/>
              </w:rPr>
              <w:t>m的苯板，放至库房或院内冷却定型，冷却到一定温度后根据订单要求用切割机切割成所需尺码。</w:t>
            </w:r>
          </w:p>
          <w:p>
            <w:pPr>
              <w:adjustRightInd w:val="0"/>
              <w:snapToGrid w:val="0"/>
              <w:spacing w:line="520" w:lineRule="exact"/>
              <w:ind w:firstLine="562" w:firstLineChars="200"/>
              <w:rPr>
                <w:color w:val="auto"/>
                <w:sz w:val="28"/>
                <w:szCs w:val="28"/>
              </w:rPr>
            </w:pPr>
            <w:r>
              <w:rPr>
                <w:rFonts w:hint="eastAsia"/>
                <w:b/>
                <w:bCs/>
                <w:color w:val="auto"/>
                <w:sz w:val="28"/>
                <w:szCs w:val="28"/>
              </w:rPr>
              <w:t>产排污环节：</w:t>
            </w:r>
            <w:r>
              <w:rPr>
                <w:rFonts w:hint="eastAsia"/>
                <w:color w:val="auto"/>
                <w:sz w:val="28"/>
                <w:szCs w:val="28"/>
              </w:rPr>
              <w:t>成型过程中会产非甲烷总烃、等工艺废气、切割碎屑、废边角料、噪声。</w:t>
            </w:r>
          </w:p>
          <w:p>
            <w:pPr>
              <w:numPr>
                <w:ilvl w:val="0"/>
                <w:numId w:val="2"/>
              </w:numPr>
              <w:adjustRightInd w:val="0"/>
              <w:snapToGrid w:val="0"/>
              <w:spacing w:line="520" w:lineRule="exact"/>
              <w:ind w:firstLine="560" w:firstLineChars="200"/>
              <w:rPr>
                <w:color w:val="auto"/>
                <w:sz w:val="28"/>
                <w:szCs w:val="28"/>
              </w:rPr>
            </w:pPr>
            <w:r>
              <w:rPr>
                <w:rFonts w:hint="eastAsia"/>
                <w:color w:val="auto"/>
                <w:sz w:val="28"/>
                <w:szCs w:val="28"/>
              </w:rPr>
              <w:t>入库陈</w:t>
            </w:r>
            <w:r>
              <w:rPr>
                <w:rFonts w:hint="eastAsia"/>
                <w:color w:val="auto"/>
                <w:sz w:val="28"/>
                <w:szCs w:val="28"/>
                <w:lang w:eastAsia="zh-CN"/>
              </w:rPr>
              <w:t>化</w:t>
            </w:r>
            <w:r>
              <w:rPr>
                <w:rFonts w:hint="eastAsia"/>
                <w:color w:val="auto"/>
                <w:sz w:val="28"/>
                <w:szCs w:val="28"/>
              </w:rPr>
              <w:t>：刚刚出模的制件对压力很敏感，因为泡孔中蒸汽和残留发泡剂的冷凝会导致部分真空，这要等到泡孔吸入空气后才能达到压力平衡。放置一段时间可以让残留发泡剂发散出去是必要的，因为发泡剂对制件有软化作用。</w:t>
            </w:r>
          </w:p>
          <w:p>
            <w:pPr>
              <w:adjustRightInd w:val="0"/>
              <w:snapToGrid w:val="0"/>
              <w:spacing w:line="520" w:lineRule="exact"/>
              <w:ind w:firstLine="562" w:firstLineChars="200"/>
              <w:rPr>
                <w:rFonts w:hint="eastAsia" w:ascii="Times New Roman" w:hAnsi="Times New Roman" w:eastAsia="宋体" w:cs="Times New Roman"/>
                <w:bCs/>
                <w:color w:val="auto"/>
                <w:kern w:val="2"/>
                <w:sz w:val="28"/>
                <w:szCs w:val="28"/>
                <w:lang w:val="en-US" w:eastAsia="zh-CN" w:bidi="ar-SA"/>
              </w:rPr>
            </w:pPr>
            <w:r>
              <w:rPr>
                <w:rFonts w:hint="eastAsia"/>
                <w:b/>
                <w:bCs/>
                <w:color w:val="auto"/>
                <w:sz w:val="28"/>
                <w:szCs w:val="28"/>
              </w:rPr>
              <w:t>产排污环节：</w:t>
            </w:r>
            <w:r>
              <w:rPr>
                <w:rFonts w:hint="eastAsia"/>
                <w:color w:val="auto"/>
                <w:sz w:val="28"/>
                <w:szCs w:val="28"/>
              </w:rPr>
              <w:t>入库陈</w:t>
            </w:r>
            <w:r>
              <w:rPr>
                <w:rFonts w:hint="eastAsia"/>
                <w:color w:val="auto"/>
                <w:sz w:val="28"/>
                <w:szCs w:val="28"/>
                <w:lang w:eastAsia="zh-CN"/>
              </w:rPr>
              <w:t>化</w:t>
            </w:r>
            <w:r>
              <w:rPr>
                <w:rFonts w:hint="eastAsia"/>
                <w:color w:val="auto"/>
                <w:sz w:val="28"/>
                <w:szCs w:val="28"/>
              </w:rPr>
              <w:t>过程中会产生噪声。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7" w:type="dxa"/>
            <w:vAlign w:val="center"/>
          </w:tcPr>
          <w:p>
            <w:pPr>
              <w:pStyle w:val="15"/>
              <w:adjustRightInd w:val="0"/>
              <w:snapToGrid w:val="0"/>
              <w:spacing w:before="0" w:beforeAutospacing="0" w:after="0" w:afterAutospacing="0"/>
              <w:jc w:val="center"/>
              <w:rPr>
                <w:rFonts w:ascii="Times New Roman" w:hAnsi="Times New Roman" w:eastAsia="宋体" w:cs="Times New Roman"/>
                <w:color w:val="auto"/>
                <w:kern w:val="0"/>
                <w:sz w:val="28"/>
                <w:szCs w:val="28"/>
                <w:lang w:val="en-US" w:eastAsia="zh-CN" w:bidi="ar-SA"/>
              </w:rPr>
            </w:pPr>
            <w:r>
              <w:rPr>
                <w:rFonts w:ascii="Times New Roman" w:hAnsi="Times New Roman"/>
                <w:bCs/>
                <w:color w:val="auto"/>
                <w:kern w:val="2"/>
                <w:sz w:val="28"/>
                <w:szCs w:val="28"/>
              </w:rPr>
              <w:t>与项目有关的原有环境污染问题</w:t>
            </w:r>
          </w:p>
        </w:tc>
        <w:tc>
          <w:tcPr>
            <w:tcW w:w="7983" w:type="dxa"/>
            <w:vAlign w:val="top"/>
          </w:tcPr>
          <w:p>
            <w:pPr>
              <w:adjustRightInd w:val="0"/>
              <w:snapToGrid w:val="0"/>
              <w:spacing w:line="520" w:lineRule="exact"/>
              <w:ind w:firstLine="560" w:firstLineChars="200"/>
              <w:rPr>
                <w:rStyle w:val="29"/>
                <w:color w:val="auto"/>
                <w:kern w:val="0"/>
                <w:szCs w:val="20"/>
              </w:rPr>
            </w:pPr>
            <w:r>
              <w:rPr>
                <w:bCs/>
                <w:color w:val="auto"/>
                <w:sz w:val="28"/>
                <w:szCs w:val="28"/>
              </w:rPr>
              <w:t>本项目</w:t>
            </w:r>
            <w:r>
              <w:rPr>
                <w:rFonts w:hint="eastAsia"/>
                <w:bCs/>
                <w:color w:val="auto"/>
                <w:sz w:val="28"/>
                <w:szCs w:val="28"/>
                <w:lang w:eastAsia="zh-CN"/>
              </w:rPr>
              <w:t>已于</w:t>
            </w:r>
            <w:r>
              <w:rPr>
                <w:rFonts w:hint="eastAsia"/>
                <w:bCs/>
                <w:color w:val="auto"/>
                <w:sz w:val="28"/>
                <w:szCs w:val="28"/>
                <w:lang w:val="en-US" w:eastAsia="zh-CN"/>
              </w:rPr>
              <w:t>2017年建设运行，每年运行时间为4月至10月</w:t>
            </w:r>
            <w:r>
              <w:rPr>
                <w:rFonts w:hint="eastAsia"/>
                <w:bCs/>
                <w:color w:val="auto"/>
                <w:sz w:val="28"/>
                <w:szCs w:val="28"/>
              </w:rPr>
              <w:t>。</w:t>
            </w:r>
          </w:p>
          <w:p>
            <w:pPr>
              <w:numPr>
                <w:ilvl w:val="0"/>
                <w:numId w:val="0"/>
              </w:numPr>
              <w:adjustRightInd w:val="0"/>
              <w:snapToGrid w:val="0"/>
              <w:spacing w:line="520" w:lineRule="exact"/>
              <w:rPr>
                <w:rFonts w:hint="eastAsia"/>
                <w:b/>
                <w:bCs w:val="0"/>
                <w:color w:val="auto"/>
                <w:sz w:val="28"/>
                <w:szCs w:val="28"/>
                <w:lang w:val="en-US" w:eastAsia="zh-CN"/>
              </w:rPr>
            </w:pPr>
            <w:r>
              <w:rPr>
                <w:rFonts w:hint="eastAsia"/>
                <w:b/>
                <w:bCs w:val="0"/>
                <w:color w:val="auto"/>
                <w:sz w:val="28"/>
                <w:szCs w:val="28"/>
                <w:lang w:val="en-US" w:eastAsia="zh-CN"/>
              </w:rPr>
              <w:t>1污染情况</w:t>
            </w:r>
          </w:p>
          <w:p>
            <w:pPr>
              <w:adjustRightInd w:val="0"/>
              <w:snapToGrid w:val="0"/>
              <w:spacing w:line="520" w:lineRule="exact"/>
              <w:ind w:firstLine="560" w:firstLineChars="200"/>
              <w:rPr>
                <w:rFonts w:hint="default" w:ascii="Times New Roman" w:hAnsi="Times New Roman" w:cs="Times New Roman"/>
                <w:bCs/>
                <w:color w:val="auto"/>
                <w:sz w:val="28"/>
                <w:szCs w:val="28"/>
                <w:lang w:val="en-US" w:eastAsia="zh-CN"/>
              </w:rPr>
            </w:pPr>
            <w:r>
              <w:rPr>
                <w:rFonts w:hint="eastAsia"/>
                <w:bCs/>
                <w:color w:val="auto"/>
                <w:sz w:val="28"/>
                <w:szCs w:val="28"/>
                <w:lang w:val="en-US" w:eastAsia="zh-CN"/>
              </w:rPr>
              <w:t>（1）大气污染：</w:t>
            </w:r>
            <w:r>
              <w:rPr>
                <w:rFonts w:hint="default" w:ascii="Times New Roman" w:hAnsi="Times New Roman" w:cs="Times New Roman"/>
                <w:bCs/>
                <w:color w:val="auto"/>
                <w:sz w:val="28"/>
                <w:szCs w:val="28"/>
              </w:rPr>
              <w:t>本项目大气污染物主要为</w:t>
            </w:r>
            <w:r>
              <w:rPr>
                <w:rFonts w:hint="eastAsia" w:ascii="Times New Roman" w:hAnsi="Times New Roman" w:cs="Times New Roman"/>
                <w:bCs/>
                <w:color w:val="auto"/>
                <w:sz w:val="28"/>
                <w:szCs w:val="28"/>
                <w:lang w:eastAsia="zh-CN"/>
              </w:rPr>
              <w:t>锅炉废气、苯板生产过程中产生的有机废气和食堂油烟。锅炉废气经布袋式除尘器处理后经</w:t>
            </w:r>
            <w:r>
              <w:rPr>
                <w:rFonts w:hint="eastAsia" w:ascii="Times New Roman" w:hAnsi="Times New Roman" w:cs="Times New Roman"/>
                <w:bCs/>
                <w:color w:val="auto"/>
                <w:sz w:val="28"/>
                <w:szCs w:val="28"/>
                <w:lang w:val="en-US" w:eastAsia="zh-CN"/>
              </w:rPr>
              <w:t>12m高的排气筒排放，生产过程中产生的废气直接外排。</w:t>
            </w:r>
          </w:p>
          <w:p>
            <w:pPr>
              <w:adjustRightInd w:val="0"/>
              <w:snapToGrid w:val="0"/>
              <w:spacing w:line="520" w:lineRule="exact"/>
              <w:ind w:firstLine="560" w:firstLineChars="200"/>
              <w:rPr>
                <w:rFonts w:hint="eastAsia" w:ascii="Times New Roman" w:hAnsi="Times New Roman" w:cs="Times New Roman"/>
                <w:bCs/>
                <w:color w:val="auto"/>
                <w:sz w:val="28"/>
                <w:szCs w:val="28"/>
                <w:lang w:eastAsia="zh-CN"/>
              </w:rPr>
            </w:pPr>
            <w:r>
              <w:rPr>
                <w:rFonts w:hint="eastAsia" w:ascii="Times New Roman" w:hAnsi="Times New Roman" w:cs="Times New Roman"/>
                <w:bCs/>
                <w:color w:val="auto"/>
                <w:sz w:val="28"/>
                <w:szCs w:val="28"/>
                <w:lang w:eastAsia="zh-CN"/>
              </w:rPr>
              <w:t>（</w:t>
            </w:r>
            <w:r>
              <w:rPr>
                <w:rFonts w:hint="eastAsia" w:ascii="Times New Roman" w:hAnsi="Times New Roman" w:cs="Times New Roman"/>
                <w:bCs/>
                <w:color w:val="auto"/>
                <w:sz w:val="28"/>
                <w:szCs w:val="28"/>
                <w:lang w:val="en-US" w:eastAsia="zh-CN"/>
              </w:rPr>
              <w:t>2</w:t>
            </w:r>
            <w:r>
              <w:rPr>
                <w:rFonts w:hint="eastAsia" w:ascii="Times New Roman" w:hAnsi="Times New Roman" w:cs="Times New Roman"/>
                <w:bCs/>
                <w:color w:val="auto"/>
                <w:sz w:val="28"/>
                <w:szCs w:val="28"/>
                <w:lang w:eastAsia="zh-CN"/>
              </w:rPr>
              <w:t>）废水污染：</w:t>
            </w:r>
            <w:r>
              <w:rPr>
                <w:rFonts w:hint="eastAsia"/>
                <w:color w:val="auto"/>
                <w:sz w:val="28"/>
                <w:szCs w:val="28"/>
              </w:rPr>
              <w:t>本项目员</w:t>
            </w:r>
            <w:r>
              <w:rPr>
                <w:rFonts w:hint="eastAsia"/>
                <w:color w:val="auto"/>
                <w:sz w:val="28"/>
                <w:szCs w:val="28"/>
                <w:lang w:eastAsia="zh-CN"/>
              </w:rPr>
              <w:t>工</w:t>
            </w:r>
            <w:r>
              <w:rPr>
                <w:rFonts w:hint="eastAsia"/>
                <w:color w:val="auto"/>
                <w:sz w:val="28"/>
                <w:szCs w:val="28"/>
              </w:rPr>
              <w:t>为8人，</w:t>
            </w:r>
            <w:r>
              <w:rPr>
                <w:rFonts w:hint="eastAsia"/>
                <w:color w:val="auto"/>
                <w:sz w:val="28"/>
                <w:szCs w:val="28"/>
                <w:lang w:eastAsia="zh-CN"/>
              </w:rPr>
              <w:t>一年生产工期为</w:t>
            </w:r>
            <w:r>
              <w:rPr>
                <w:rFonts w:hint="eastAsia"/>
                <w:color w:val="auto"/>
                <w:sz w:val="28"/>
                <w:szCs w:val="28"/>
                <w:lang w:val="en-US" w:eastAsia="zh-CN"/>
              </w:rPr>
              <w:t>210天，</w:t>
            </w:r>
            <w:r>
              <w:rPr>
                <w:rFonts w:hint="eastAsia" w:ascii="Times New Roman" w:hAnsi="Times New Roman" w:cs="Times New Roman"/>
                <w:bCs/>
                <w:color w:val="auto"/>
                <w:sz w:val="28"/>
                <w:szCs w:val="28"/>
                <w:lang w:eastAsia="zh-CN"/>
              </w:rPr>
              <w:t>本项目主要为生活污水，</w:t>
            </w:r>
            <w:r>
              <w:rPr>
                <w:rFonts w:hint="eastAsia"/>
                <w:color w:val="auto"/>
                <w:sz w:val="28"/>
                <w:szCs w:val="28"/>
              </w:rPr>
              <w:t>根据《新疆维吾尔自治区生活用水定额要求标准规范》本项目生活用水量取50L/d·人</w:t>
            </w:r>
            <w:r>
              <w:rPr>
                <w:rFonts w:hint="eastAsia"/>
                <w:color w:val="auto"/>
                <w:sz w:val="28"/>
                <w:szCs w:val="28"/>
                <w:lang w:eastAsia="zh-CN"/>
              </w:rPr>
              <w:t>，</w:t>
            </w:r>
            <w:r>
              <w:rPr>
                <w:rFonts w:hint="eastAsia"/>
                <w:color w:val="auto"/>
                <w:sz w:val="28"/>
                <w:szCs w:val="28"/>
              </w:rPr>
              <w:t>生活污水的排放量按用水量的80%计</w:t>
            </w:r>
            <w:r>
              <w:rPr>
                <w:rFonts w:hint="eastAsia"/>
                <w:color w:val="auto"/>
                <w:sz w:val="28"/>
                <w:szCs w:val="28"/>
                <w:lang w:eastAsia="zh-CN"/>
              </w:rPr>
              <w:t>，污水排放量为</w:t>
            </w:r>
            <w:r>
              <w:rPr>
                <w:rFonts w:hint="eastAsia"/>
                <w:color w:val="auto"/>
                <w:sz w:val="28"/>
                <w:szCs w:val="28"/>
                <w:lang w:val="en-US" w:eastAsia="zh-CN"/>
              </w:rPr>
              <w:t>0.84t/a。</w:t>
            </w:r>
            <w:r>
              <w:rPr>
                <w:rFonts w:hint="eastAsia" w:ascii="Times New Roman" w:hAnsi="Times New Roman" w:cs="Times New Roman"/>
                <w:bCs/>
                <w:color w:val="auto"/>
                <w:sz w:val="28"/>
                <w:szCs w:val="28"/>
                <w:lang w:eastAsia="zh-CN"/>
              </w:rPr>
              <w:t>根据业主提供，本项目区主要为生活污水，直接排入市政下水管网。</w:t>
            </w:r>
          </w:p>
          <w:p>
            <w:pPr>
              <w:adjustRightInd w:val="0"/>
              <w:snapToGrid w:val="0"/>
              <w:spacing w:line="520" w:lineRule="exact"/>
              <w:ind w:firstLine="560" w:firstLineChars="200"/>
              <w:rPr>
                <w:rFonts w:hint="eastAsia" w:ascii="Times New Roman" w:hAnsi="Times New Roman" w:cs="Times New Roman"/>
                <w:bCs/>
                <w:color w:val="auto"/>
                <w:sz w:val="28"/>
                <w:szCs w:val="28"/>
                <w:lang w:eastAsia="zh-CN"/>
              </w:rPr>
            </w:pPr>
            <w:r>
              <w:rPr>
                <w:rFonts w:hint="default" w:ascii="Times New Roman" w:hAnsi="Times New Roman" w:cs="Times New Roman"/>
                <w:bCs/>
                <w:color w:val="auto"/>
                <w:sz w:val="28"/>
                <w:szCs w:val="28"/>
              </w:rPr>
              <w:t>（3）噪声污染：噪声源主要为</w:t>
            </w:r>
            <w:r>
              <w:rPr>
                <w:rFonts w:hint="eastAsia" w:ascii="Times New Roman" w:hAnsi="Times New Roman" w:cs="Times New Roman"/>
                <w:bCs/>
                <w:color w:val="auto"/>
                <w:sz w:val="28"/>
                <w:szCs w:val="28"/>
                <w:lang w:eastAsia="zh-CN"/>
              </w:rPr>
              <w:t>苯板生产车间噪声</w:t>
            </w:r>
            <w:r>
              <w:rPr>
                <w:rFonts w:hint="default" w:ascii="Times New Roman" w:hAnsi="Times New Roman" w:cs="Times New Roman"/>
                <w:bCs/>
                <w:color w:val="auto"/>
                <w:sz w:val="28"/>
                <w:szCs w:val="28"/>
              </w:rPr>
              <w:t>，其噪声源强在80～85dB（A），对周围环境有一定影响。项目所在区域执行《声环境质量标准》（GB3096—2008）</w:t>
            </w:r>
            <w:r>
              <w:rPr>
                <w:rFonts w:hint="eastAsia" w:ascii="Times New Roman" w:hAnsi="Times New Roman" w:cs="Times New Roman"/>
                <w:bCs/>
                <w:color w:val="auto"/>
                <w:sz w:val="28"/>
                <w:szCs w:val="28"/>
                <w:lang w:val="en-US" w:eastAsia="zh-CN"/>
              </w:rPr>
              <w:t>3</w:t>
            </w:r>
            <w:r>
              <w:rPr>
                <w:rFonts w:hint="default" w:ascii="Times New Roman" w:hAnsi="Times New Roman" w:cs="Times New Roman"/>
                <w:bCs/>
                <w:color w:val="auto"/>
                <w:sz w:val="28"/>
                <w:szCs w:val="28"/>
              </w:rPr>
              <w:t>类标准</w:t>
            </w:r>
            <w:r>
              <w:rPr>
                <w:rFonts w:hint="eastAsia" w:ascii="Times New Roman" w:hAnsi="Times New Roman" w:cs="Times New Roman"/>
                <w:bCs/>
                <w:color w:val="auto"/>
                <w:sz w:val="28"/>
                <w:szCs w:val="28"/>
                <w:lang w:eastAsia="zh-CN"/>
              </w:rPr>
              <w:t>。</w:t>
            </w:r>
          </w:p>
          <w:p>
            <w:pPr>
              <w:pStyle w:val="17"/>
              <w:keepNext w:val="0"/>
              <w:keepLines w:val="0"/>
              <w:pageBreakBefore w:val="0"/>
              <w:widowControl w:val="0"/>
              <w:kinsoku/>
              <w:wordWrap/>
              <w:overflowPunct/>
              <w:topLinePunct w:val="0"/>
              <w:autoSpaceDE/>
              <w:autoSpaceDN/>
              <w:bidi w:val="0"/>
              <w:adjustRightInd/>
              <w:snapToGrid/>
              <w:spacing w:after="0" w:line="520" w:lineRule="exact"/>
              <w:ind w:left="0" w:leftChars="0" w:firstLine="560" w:firstLineChars="200"/>
              <w:textAlignment w:val="auto"/>
              <w:rPr>
                <w:rFonts w:hint="eastAsia" w:ascii="Times New Roman" w:hAnsi="Times New Roman" w:cs="Times New Roman"/>
                <w:bCs/>
                <w:color w:val="auto"/>
                <w:sz w:val="28"/>
                <w:szCs w:val="28"/>
                <w:lang w:eastAsia="zh-CN"/>
              </w:rPr>
            </w:pPr>
            <w:r>
              <w:rPr>
                <w:rFonts w:hint="default" w:ascii="Times New Roman" w:hAnsi="Times New Roman" w:cs="Times New Roman"/>
                <w:bCs/>
                <w:color w:val="auto"/>
                <w:sz w:val="28"/>
                <w:szCs w:val="28"/>
              </w:rPr>
              <w:t>（</w:t>
            </w:r>
            <w:r>
              <w:rPr>
                <w:rFonts w:hint="eastAsia" w:ascii="Times New Roman" w:hAnsi="Times New Roman" w:cs="Times New Roman"/>
                <w:bCs/>
                <w:color w:val="auto"/>
                <w:sz w:val="28"/>
                <w:szCs w:val="28"/>
                <w:lang w:val="en-US" w:eastAsia="zh-CN"/>
              </w:rPr>
              <w:t>4</w:t>
            </w:r>
            <w:r>
              <w:rPr>
                <w:rFonts w:hint="default" w:ascii="Times New Roman" w:hAnsi="Times New Roman" w:cs="Times New Roman"/>
                <w:bCs/>
                <w:color w:val="auto"/>
                <w:sz w:val="28"/>
                <w:szCs w:val="28"/>
              </w:rPr>
              <w:t>）</w:t>
            </w:r>
            <w:r>
              <w:rPr>
                <w:rFonts w:hint="eastAsia" w:ascii="Times New Roman" w:hAnsi="Times New Roman" w:cs="Times New Roman"/>
                <w:bCs/>
                <w:color w:val="auto"/>
                <w:sz w:val="28"/>
                <w:szCs w:val="28"/>
                <w:lang w:eastAsia="zh-CN"/>
              </w:rPr>
              <w:t>固体废物：本项目原有主要固体废物为员工的生活垃圾和废边角料。根据业主提供，项目区垃圾箱集中收集固体废物后，由市政环卫部门统一处理。</w:t>
            </w:r>
          </w:p>
          <w:p>
            <w:pPr>
              <w:pStyle w:val="17"/>
              <w:keepNext w:val="0"/>
              <w:keepLines w:val="0"/>
              <w:pageBreakBefore w:val="0"/>
              <w:widowControl w:val="0"/>
              <w:kinsoku/>
              <w:wordWrap/>
              <w:overflowPunct/>
              <w:topLinePunct w:val="0"/>
              <w:autoSpaceDE/>
              <w:autoSpaceDN/>
              <w:bidi w:val="0"/>
              <w:adjustRightInd/>
              <w:snapToGrid/>
              <w:spacing w:after="0" w:line="520" w:lineRule="exact"/>
              <w:ind w:left="0" w:leftChars="0" w:firstLine="560" w:firstLineChars="200"/>
              <w:textAlignment w:val="auto"/>
              <w:rPr>
                <w:rFonts w:hint="eastAsia"/>
                <w:color w:val="auto"/>
                <w:sz w:val="28"/>
                <w:szCs w:val="28"/>
                <w:lang w:eastAsia="zh-CN"/>
              </w:rPr>
            </w:pPr>
            <w:r>
              <w:rPr>
                <w:rFonts w:hint="eastAsia"/>
                <w:color w:val="auto"/>
                <w:sz w:val="28"/>
                <w:szCs w:val="28"/>
                <w:lang w:eastAsia="zh-CN"/>
              </w:rPr>
              <w:t>由于本厂暂未运行无法实测项目区实际污染物排放情况。</w:t>
            </w:r>
          </w:p>
          <w:p>
            <w:pPr>
              <w:adjustRightInd w:val="0"/>
              <w:snapToGrid w:val="0"/>
              <w:spacing w:line="520" w:lineRule="exact"/>
              <w:rPr>
                <w:rFonts w:hint="default" w:ascii="Times New Roman" w:hAnsi="Times New Roman" w:cs="Times New Roman"/>
                <w:bCs/>
                <w:color w:val="auto"/>
                <w:sz w:val="28"/>
                <w:szCs w:val="28"/>
              </w:rPr>
            </w:pPr>
            <w:r>
              <w:rPr>
                <w:rFonts w:hint="default" w:ascii="Times New Roman" w:hAnsi="Times New Roman" w:cs="Times New Roman"/>
                <w:b/>
                <w:color w:val="auto"/>
                <w:sz w:val="28"/>
                <w:szCs w:val="28"/>
              </w:rPr>
              <w:t>2整改措施</w:t>
            </w:r>
          </w:p>
          <w:p>
            <w:pPr>
              <w:adjustRightInd w:val="0"/>
              <w:snapToGrid w:val="0"/>
              <w:spacing w:line="520" w:lineRule="exact"/>
              <w:ind w:firstLine="560" w:firstLineChars="200"/>
              <w:rPr>
                <w:rFonts w:hint="eastAsia" w:ascii="Times New Roman" w:hAnsi="Times New Roman" w:cs="Times New Roman"/>
                <w:bCs/>
                <w:color w:val="auto"/>
                <w:sz w:val="28"/>
                <w:szCs w:val="28"/>
                <w:lang w:val="en-US" w:eastAsia="zh-CN"/>
              </w:rPr>
            </w:pPr>
            <w:r>
              <w:rPr>
                <w:rFonts w:hint="eastAsia" w:cs="Times New Roman"/>
                <w:bCs/>
                <w:color w:val="auto"/>
                <w:sz w:val="28"/>
                <w:szCs w:val="28"/>
                <w:lang w:eastAsia="zh-CN"/>
              </w:rPr>
              <w:t>（</w:t>
            </w:r>
            <w:r>
              <w:rPr>
                <w:rFonts w:hint="eastAsia" w:cs="Times New Roman"/>
                <w:bCs/>
                <w:color w:val="auto"/>
                <w:sz w:val="28"/>
                <w:szCs w:val="28"/>
                <w:lang w:val="en-US" w:eastAsia="zh-CN"/>
              </w:rPr>
              <w:t>1</w:t>
            </w:r>
            <w:r>
              <w:rPr>
                <w:rFonts w:hint="eastAsia" w:cs="Times New Roman"/>
                <w:bCs/>
                <w:color w:val="auto"/>
                <w:sz w:val="28"/>
                <w:szCs w:val="28"/>
                <w:lang w:eastAsia="zh-CN"/>
              </w:rPr>
              <w:t>）</w:t>
            </w:r>
            <w:r>
              <w:rPr>
                <w:rFonts w:hint="eastAsia" w:ascii="Times New Roman" w:hAnsi="Times New Roman" w:cs="Times New Roman"/>
                <w:bCs/>
                <w:color w:val="auto"/>
                <w:sz w:val="28"/>
                <w:szCs w:val="28"/>
                <w:lang w:eastAsia="zh-CN"/>
              </w:rPr>
              <w:t>针对现有工程废气排放情况提出以下措施：苯板生产工程中产生的工艺废气经光氧催化</w:t>
            </w:r>
            <w:r>
              <w:rPr>
                <w:rFonts w:hint="eastAsia" w:ascii="Times New Roman" w:hAnsi="Times New Roman" w:cs="Times New Roman"/>
                <w:bCs/>
                <w:color w:val="auto"/>
                <w:sz w:val="28"/>
                <w:szCs w:val="28"/>
                <w:lang w:val="en-US" w:eastAsia="zh-CN"/>
              </w:rPr>
              <w:t>+活性炭吸附技术进行处理，处理后的废气经排气筒排放。</w:t>
            </w:r>
          </w:p>
          <w:p>
            <w:pPr>
              <w:adjustRightInd w:val="0"/>
              <w:snapToGrid w:val="0"/>
              <w:spacing w:line="520" w:lineRule="exact"/>
              <w:ind w:firstLine="560" w:firstLineChars="200"/>
              <w:rPr>
                <w:rFonts w:hint="eastAsia" w:ascii="Times New Roman" w:hAnsi="Times New Roman" w:eastAsia="宋体" w:cs="Times New Roman"/>
                <w:bCs/>
                <w:color w:val="auto"/>
                <w:kern w:val="2"/>
                <w:sz w:val="28"/>
                <w:szCs w:val="28"/>
                <w:lang w:val="en-US" w:eastAsia="zh-CN" w:bidi="ar-SA"/>
              </w:rPr>
            </w:pPr>
            <w:r>
              <w:rPr>
                <w:rFonts w:hint="eastAsia" w:cs="Times New Roman"/>
                <w:bCs/>
                <w:color w:val="auto"/>
                <w:sz w:val="28"/>
                <w:szCs w:val="28"/>
                <w:lang w:val="en-US" w:eastAsia="zh-CN"/>
              </w:rPr>
              <w:t>（2）</w:t>
            </w:r>
            <w:r>
              <w:rPr>
                <w:rFonts w:hint="eastAsia" w:ascii="Times New Roman" w:hAnsi="Times New Roman" w:cs="Times New Roman"/>
                <w:bCs/>
                <w:color w:val="auto"/>
                <w:sz w:val="28"/>
                <w:szCs w:val="28"/>
                <w:lang w:val="en-US" w:eastAsia="zh-CN"/>
              </w:rPr>
              <w:t>在工艺废气处理过程中会产生废活性炭和废灯管等危险废物，因此需在厂内建设危废暂存间。食堂油烟</w:t>
            </w:r>
            <w:r>
              <w:rPr>
                <w:rFonts w:hint="eastAsia"/>
                <w:bCs/>
                <w:color w:val="auto"/>
                <w:sz w:val="28"/>
                <w:szCs w:val="28"/>
              </w:rPr>
              <w:t>采用油烟净化处理装置进行处理后由专用排气筒由屋顶排出</w:t>
            </w:r>
            <w:r>
              <w:rPr>
                <w:rFonts w:hint="eastAsia"/>
                <w:bCs/>
                <w:color w:val="auto"/>
                <w:sz w:val="28"/>
                <w:szCs w:val="28"/>
                <w:lang w:eastAsia="zh-CN"/>
              </w:rPr>
              <w:t>。</w:t>
            </w:r>
          </w:p>
        </w:tc>
      </w:tr>
    </w:tbl>
    <w:p>
      <w:pPr>
        <w:pStyle w:val="15"/>
        <w:jc w:val="center"/>
        <w:rPr>
          <w:rFonts w:ascii="黑体" w:hAnsi="黑体" w:eastAsia="黑体"/>
          <w:snapToGrid w:val="0"/>
          <w:color w:val="auto"/>
          <w:sz w:val="36"/>
          <w:szCs w:val="36"/>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5"/>
        <w:adjustRightInd w:val="0"/>
        <w:snapToGrid w:val="0"/>
        <w:spacing w:before="0" w:beforeAutospacing="0" w:after="0" w:afterAutospacing="0" w:line="15" w:lineRule="auto"/>
        <w:jc w:val="center"/>
        <w:rPr>
          <w:rFonts w:ascii="黑体" w:hAnsi="黑体" w:eastAsia="黑体"/>
          <w:snapToGrid w:val="0"/>
          <w:color w:val="auto"/>
          <w:sz w:val="30"/>
          <w:szCs w:val="30"/>
        </w:rPr>
      </w:pPr>
    </w:p>
    <w:p>
      <w:pPr>
        <w:pStyle w:val="15"/>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三、区域环境质量现状、环境保护目标及评价标准</w:t>
      </w:r>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00"/>
        <w:gridCol w:w="807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45" w:hRule="atLeast"/>
          <w:jc w:val="center"/>
        </w:trPr>
        <w:tc>
          <w:tcPr>
            <w:tcW w:w="800" w:type="dxa"/>
            <w:vAlign w:val="center"/>
          </w:tcPr>
          <w:p>
            <w:pPr>
              <w:adjustRightInd w:val="0"/>
              <w:snapToGrid w:val="0"/>
              <w:spacing w:line="520" w:lineRule="exact"/>
              <w:jc w:val="center"/>
              <w:rPr>
                <w:color w:val="auto"/>
                <w:kern w:val="0"/>
                <w:sz w:val="28"/>
                <w:szCs w:val="28"/>
              </w:rPr>
            </w:pPr>
            <w:r>
              <w:rPr>
                <w:color w:val="auto"/>
                <w:kern w:val="0"/>
                <w:sz w:val="28"/>
                <w:szCs w:val="28"/>
              </w:rPr>
              <w:t>区域</w:t>
            </w:r>
          </w:p>
          <w:p>
            <w:pPr>
              <w:adjustRightInd w:val="0"/>
              <w:snapToGrid w:val="0"/>
              <w:spacing w:line="520" w:lineRule="exact"/>
              <w:jc w:val="center"/>
              <w:rPr>
                <w:color w:val="auto"/>
                <w:kern w:val="0"/>
                <w:sz w:val="28"/>
                <w:szCs w:val="28"/>
              </w:rPr>
            </w:pPr>
            <w:r>
              <w:rPr>
                <w:color w:val="auto"/>
                <w:kern w:val="0"/>
                <w:sz w:val="28"/>
                <w:szCs w:val="28"/>
              </w:rPr>
              <w:t>环境</w:t>
            </w:r>
          </w:p>
          <w:p>
            <w:pPr>
              <w:adjustRightInd w:val="0"/>
              <w:snapToGrid w:val="0"/>
              <w:spacing w:line="520" w:lineRule="exact"/>
              <w:jc w:val="center"/>
              <w:rPr>
                <w:color w:val="auto"/>
                <w:kern w:val="0"/>
                <w:sz w:val="28"/>
                <w:szCs w:val="28"/>
              </w:rPr>
            </w:pPr>
            <w:r>
              <w:rPr>
                <w:color w:val="auto"/>
                <w:kern w:val="0"/>
                <w:sz w:val="28"/>
                <w:szCs w:val="28"/>
              </w:rPr>
              <w:t>质量</w:t>
            </w:r>
          </w:p>
          <w:p>
            <w:pPr>
              <w:adjustRightInd w:val="0"/>
              <w:snapToGrid w:val="0"/>
              <w:spacing w:line="520" w:lineRule="exact"/>
              <w:jc w:val="center"/>
              <w:rPr>
                <w:color w:val="auto"/>
                <w:kern w:val="0"/>
                <w:sz w:val="28"/>
                <w:szCs w:val="28"/>
              </w:rPr>
            </w:pPr>
            <w:r>
              <w:rPr>
                <w:color w:val="auto"/>
                <w:kern w:val="0"/>
                <w:sz w:val="28"/>
                <w:szCs w:val="28"/>
              </w:rPr>
              <w:t>现状</w:t>
            </w:r>
          </w:p>
        </w:tc>
        <w:tc>
          <w:tcPr>
            <w:tcW w:w="8076" w:type="dxa"/>
            <w:vAlign w:val="center"/>
          </w:tcPr>
          <w:p>
            <w:pPr>
              <w:adjustRightInd w:val="0"/>
              <w:snapToGrid w:val="0"/>
              <w:spacing w:line="520" w:lineRule="exact"/>
              <w:rPr>
                <w:b/>
                <w:bCs/>
                <w:color w:val="auto"/>
                <w:kern w:val="0"/>
                <w:sz w:val="28"/>
                <w:szCs w:val="28"/>
              </w:rPr>
            </w:pPr>
            <w:r>
              <w:rPr>
                <w:b/>
                <w:bCs/>
                <w:color w:val="auto"/>
                <w:kern w:val="0"/>
                <w:sz w:val="28"/>
                <w:szCs w:val="28"/>
              </w:rPr>
              <w:t>1环境空气质量现状</w:t>
            </w:r>
          </w:p>
          <w:p>
            <w:pPr>
              <w:adjustRightInd w:val="0"/>
              <w:snapToGrid w:val="0"/>
              <w:spacing w:line="520" w:lineRule="exact"/>
              <w:rPr>
                <w:color w:val="auto"/>
                <w:kern w:val="0"/>
                <w:sz w:val="28"/>
                <w:szCs w:val="28"/>
              </w:rPr>
            </w:pPr>
            <w:r>
              <w:rPr>
                <w:b/>
                <w:bCs/>
                <w:color w:val="auto"/>
                <w:kern w:val="0"/>
                <w:sz w:val="28"/>
                <w:szCs w:val="28"/>
              </w:rPr>
              <w:t>1.1空气环境质量现状调查</w:t>
            </w:r>
          </w:p>
          <w:p>
            <w:pPr>
              <w:adjustRightInd w:val="0"/>
              <w:snapToGrid w:val="0"/>
              <w:spacing w:line="520" w:lineRule="exact"/>
              <w:ind w:firstLine="560" w:firstLineChars="200"/>
              <w:rPr>
                <w:color w:val="auto"/>
                <w:kern w:val="0"/>
                <w:sz w:val="28"/>
                <w:szCs w:val="28"/>
              </w:rPr>
            </w:pPr>
            <w:r>
              <w:rPr>
                <w:color w:val="auto"/>
                <w:kern w:val="0"/>
                <w:sz w:val="28"/>
                <w:szCs w:val="28"/>
              </w:rPr>
              <w:t>根据项目的具体位置和当地的气象、地形以及当地的实际情况，按《环境影响评价技术导则—大气环境》（HJ2.2—2018）的要求，本项目环境空气质量基本污染物数据选择新疆维吾尔自治区生态环境厅网站环境质量版块发布的2020年1月至12月</w:t>
            </w:r>
            <w:r>
              <w:rPr>
                <w:rFonts w:hint="eastAsia"/>
                <w:color w:val="auto"/>
                <w:kern w:val="0"/>
                <w:sz w:val="28"/>
                <w:szCs w:val="28"/>
              </w:rPr>
              <w:t>伊宁市</w:t>
            </w:r>
            <w:r>
              <w:rPr>
                <w:color w:val="auto"/>
                <w:kern w:val="0"/>
                <w:sz w:val="28"/>
                <w:szCs w:val="28"/>
              </w:rPr>
              <w:t>监测数据，作为本项目环境空气现状评价基本污染物SO</w:t>
            </w:r>
            <w:r>
              <w:rPr>
                <w:color w:val="auto"/>
                <w:kern w:val="0"/>
                <w:sz w:val="28"/>
                <w:szCs w:val="28"/>
                <w:vertAlign w:val="subscript"/>
              </w:rPr>
              <w:t>2</w:t>
            </w:r>
            <w:r>
              <w:rPr>
                <w:color w:val="auto"/>
                <w:kern w:val="0"/>
                <w:sz w:val="28"/>
                <w:szCs w:val="28"/>
              </w:rPr>
              <w:t>、NO</w:t>
            </w:r>
            <w:r>
              <w:rPr>
                <w:color w:val="auto"/>
                <w:kern w:val="0"/>
                <w:sz w:val="28"/>
                <w:szCs w:val="28"/>
                <w:vertAlign w:val="subscript"/>
              </w:rPr>
              <w:t>2</w:t>
            </w:r>
            <w:r>
              <w:rPr>
                <w:color w:val="auto"/>
                <w:kern w:val="0"/>
                <w:sz w:val="28"/>
                <w:szCs w:val="28"/>
              </w:rPr>
              <w:t>、PM</w:t>
            </w:r>
            <w:r>
              <w:rPr>
                <w:color w:val="auto"/>
                <w:kern w:val="0"/>
                <w:sz w:val="28"/>
                <w:szCs w:val="28"/>
                <w:vertAlign w:val="subscript"/>
              </w:rPr>
              <w:t>10</w:t>
            </w:r>
            <w:r>
              <w:rPr>
                <w:color w:val="auto"/>
                <w:kern w:val="0"/>
                <w:sz w:val="28"/>
                <w:szCs w:val="28"/>
              </w:rPr>
              <w:t>、PM</w:t>
            </w:r>
            <w:r>
              <w:rPr>
                <w:color w:val="auto"/>
                <w:kern w:val="0"/>
                <w:sz w:val="28"/>
                <w:szCs w:val="28"/>
                <w:vertAlign w:val="subscript"/>
              </w:rPr>
              <w:t>2.5</w:t>
            </w:r>
            <w:r>
              <w:rPr>
                <w:color w:val="auto"/>
                <w:kern w:val="0"/>
                <w:sz w:val="28"/>
                <w:szCs w:val="28"/>
              </w:rPr>
              <w:t>、CO、O</w:t>
            </w:r>
            <w:r>
              <w:rPr>
                <w:color w:val="auto"/>
                <w:kern w:val="0"/>
                <w:sz w:val="28"/>
                <w:szCs w:val="28"/>
                <w:vertAlign w:val="subscript"/>
              </w:rPr>
              <w:t>3</w:t>
            </w:r>
            <w:r>
              <w:rPr>
                <w:color w:val="auto"/>
                <w:kern w:val="0"/>
                <w:sz w:val="28"/>
                <w:szCs w:val="28"/>
              </w:rPr>
              <w:t>的数据来源。</w:t>
            </w:r>
          </w:p>
          <w:p>
            <w:pPr>
              <w:adjustRightInd w:val="0"/>
              <w:snapToGrid w:val="0"/>
              <w:spacing w:line="520" w:lineRule="exact"/>
              <w:rPr>
                <w:color w:val="auto"/>
                <w:kern w:val="0"/>
                <w:sz w:val="28"/>
                <w:szCs w:val="28"/>
              </w:rPr>
            </w:pPr>
            <w:r>
              <w:rPr>
                <w:b/>
                <w:bCs/>
                <w:color w:val="auto"/>
                <w:kern w:val="0"/>
                <w:sz w:val="28"/>
                <w:szCs w:val="28"/>
              </w:rPr>
              <w:t>1.2监测项目及分析方法</w:t>
            </w:r>
          </w:p>
          <w:p>
            <w:pPr>
              <w:adjustRightInd w:val="0"/>
              <w:snapToGrid w:val="0"/>
              <w:spacing w:line="520" w:lineRule="exact"/>
              <w:ind w:firstLine="560" w:firstLineChars="200"/>
              <w:rPr>
                <w:color w:val="auto"/>
                <w:kern w:val="0"/>
                <w:sz w:val="28"/>
                <w:szCs w:val="28"/>
              </w:rPr>
            </w:pPr>
            <w:r>
              <w:rPr>
                <w:color w:val="auto"/>
                <w:kern w:val="0"/>
                <w:sz w:val="28"/>
                <w:szCs w:val="28"/>
              </w:rPr>
              <w:t>环境空气质量监测项目为：SO</w:t>
            </w:r>
            <w:r>
              <w:rPr>
                <w:color w:val="auto"/>
                <w:kern w:val="0"/>
                <w:sz w:val="28"/>
                <w:szCs w:val="28"/>
                <w:vertAlign w:val="subscript"/>
              </w:rPr>
              <w:t>2</w:t>
            </w:r>
            <w:r>
              <w:rPr>
                <w:color w:val="auto"/>
                <w:kern w:val="0"/>
                <w:sz w:val="28"/>
                <w:szCs w:val="28"/>
              </w:rPr>
              <w:t>、NO</w:t>
            </w:r>
            <w:r>
              <w:rPr>
                <w:color w:val="auto"/>
                <w:kern w:val="0"/>
                <w:sz w:val="28"/>
                <w:szCs w:val="28"/>
                <w:vertAlign w:val="subscript"/>
              </w:rPr>
              <w:t>2</w:t>
            </w:r>
            <w:r>
              <w:rPr>
                <w:color w:val="auto"/>
                <w:kern w:val="0"/>
                <w:sz w:val="28"/>
                <w:szCs w:val="28"/>
              </w:rPr>
              <w:t>、PM</w:t>
            </w:r>
            <w:r>
              <w:rPr>
                <w:color w:val="auto"/>
                <w:kern w:val="0"/>
                <w:sz w:val="28"/>
                <w:szCs w:val="28"/>
                <w:vertAlign w:val="subscript"/>
              </w:rPr>
              <w:t>10</w:t>
            </w:r>
            <w:r>
              <w:rPr>
                <w:color w:val="auto"/>
                <w:kern w:val="0"/>
                <w:sz w:val="28"/>
                <w:szCs w:val="28"/>
              </w:rPr>
              <w:t>、PM</w:t>
            </w:r>
            <w:r>
              <w:rPr>
                <w:color w:val="auto"/>
                <w:kern w:val="0"/>
                <w:sz w:val="28"/>
                <w:szCs w:val="28"/>
                <w:vertAlign w:val="subscript"/>
              </w:rPr>
              <w:t>2.5</w:t>
            </w:r>
            <w:r>
              <w:rPr>
                <w:color w:val="auto"/>
                <w:kern w:val="0"/>
                <w:sz w:val="28"/>
                <w:szCs w:val="28"/>
              </w:rPr>
              <w:t>、CO、O</w:t>
            </w:r>
            <w:r>
              <w:rPr>
                <w:color w:val="auto"/>
                <w:kern w:val="0"/>
                <w:sz w:val="28"/>
                <w:szCs w:val="28"/>
                <w:vertAlign w:val="subscript"/>
              </w:rPr>
              <w:t>3</w:t>
            </w:r>
            <w:r>
              <w:rPr>
                <w:color w:val="auto"/>
                <w:kern w:val="0"/>
                <w:sz w:val="28"/>
                <w:szCs w:val="28"/>
              </w:rPr>
              <w:t>。各项目的采样及分析方法均按国家有关规定执行。</w:t>
            </w:r>
          </w:p>
          <w:p>
            <w:pPr>
              <w:adjustRightInd w:val="0"/>
              <w:snapToGrid w:val="0"/>
              <w:spacing w:line="520" w:lineRule="exact"/>
              <w:rPr>
                <w:b/>
                <w:bCs/>
                <w:color w:val="auto"/>
                <w:kern w:val="0"/>
                <w:sz w:val="28"/>
                <w:szCs w:val="28"/>
              </w:rPr>
            </w:pPr>
            <w:r>
              <w:rPr>
                <w:b/>
                <w:bCs/>
                <w:color w:val="auto"/>
                <w:kern w:val="0"/>
                <w:sz w:val="28"/>
                <w:szCs w:val="28"/>
              </w:rPr>
              <w:t>1.3环境空气质量评价</w:t>
            </w:r>
          </w:p>
          <w:p>
            <w:pPr>
              <w:adjustRightInd w:val="0"/>
              <w:snapToGrid w:val="0"/>
              <w:spacing w:line="520" w:lineRule="exact"/>
              <w:rPr>
                <w:color w:val="auto"/>
                <w:kern w:val="0"/>
                <w:sz w:val="28"/>
                <w:szCs w:val="28"/>
              </w:rPr>
            </w:pPr>
            <w:r>
              <w:rPr>
                <w:b/>
                <w:bCs/>
                <w:color w:val="auto"/>
                <w:kern w:val="0"/>
                <w:sz w:val="28"/>
                <w:szCs w:val="28"/>
              </w:rPr>
              <w:t>1.3.1评价标准</w:t>
            </w:r>
          </w:p>
          <w:p>
            <w:pPr>
              <w:adjustRightInd w:val="0"/>
              <w:snapToGrid w:val="0"/>
              <w:spacing w:line="520" w:lineRule="exact"/>
              <w:ind w:firstLine="560" w:firstLineChars="200"/>
              <w:rPr>
                <w:color w:val="auto"/>
                <w:kern w:val="0"/>
                <w:sz w:val="28"/>
                <w:szCs w:val="28"/>
              </w:rPr>
            </w:pPr>
            <w:r>
              <w:rPr>
                <w:color w:val="auto"/>
                <w:kern w:val="0"/>
                <w:sz w:val="28"/>
                <w:szCs w:val="28"/>
              </w:rPr>
              <w:t>环境空气中的SO</w:t>
            </w:r>
            <w:r>
              <w:rPr>
                <w:color w:val="auto"/>
                <w:kern w:val="0"/>
                <w:sz w:val="28"/>
                <w:szCs w:val="28"/>
                <w:vertAlign w:val="subscript"/>
              </w:rPr>
              <w:t>2</w:t>
            </w:r>
            <w:r>
              <w:rPr>
                <w:color w:val="auto"/>
                <w:kern w:val="0"/>
                <w:sz w:val="28"/>
                <w:szCs w:val="28"/>
              </w:rPr>
              <w:t>、NO</w:t>
            </w:r>
            <w:r>
              <w:rPr>
                <w:color w:val="auto"/>
                <w:kern w:val="0"/>
                <w:sz w:val="28"/>
                <w:szCs w:val="28"/>
                <w:vertAlign w:val="subscript"/>
              </w:rPr>
              <w:t>2</w:t>
            </w:r>
            <w:r>
              <w:rPr>
                <w:color w:val="auto"/>
                <w:kern w:val="0"/>
                <w:sz w:val="28"/>
                <w:szCs w:val="28"/>
              </w:rPr>
              <w:t>、PM</w:t>
            </w:r>
            <w:r>
              <w:rPr>
                <w:color w:val="auto"/>
                <w:kern w:val="0"/>
                <w:sz w:val="28"/>
                <w:szCs w:val="28"/>
                <w:vertAlign w:val="subscript"/>
              </w:rPr>
              <w:t>10</w:t>
            </w:r>
            <w:r>
              <w:rPr>
                <w:color w:val="auto"/>
                <w:kern w:val="0"/>
                <w:sz w:val="28"/>
                <w:szCs w:val="28"/>
              </w:rPr>
              <w:t>、PM</w:t>
            </w:r>
            <w:r>
              <w:rPr>
                <w:color w:val="auto"/>
                <w:kern w:val="0"/>
                <w:sz w:val="28"/>
                <w:szCs w:val="28"/>
                <w:vertAlign w:val="subscript"/>
              </w:rPr>
              <w:t>2.5</w:t>
            </w:r>
            <w:r>
              <w:rPr>
                <w:color w:val="auto"/>
                <w:kern w:val="0"/>
                <w:sz w:val="28"/>
                <w:szCs w:val="28"/>
              </w:rPr>
              <w:t>、CO、O</w:t>
            </w:r>
            <w:r>
              <w:rPr>
                <w:color w:val="auto"/>
                <w:kern w:val="0"/>
                <w:sz w:val="28"/>
                <w:szCs w:val="28"/>
                <w:vertAlign w:val="subscript"/>
              </w:rPr>
              <w:t>3</w:t>
            </w:r>
            <w:r>
              <w:rPr>
                <w:color w:val="auto"/>
                <w:kern w:val="0"/>
                <w:sz w:val="28"/>
                <w:szCs w:val="28"/>
              </w:rPr>
              <w:t>执行《环境空气质量标准》（GB3095—2012），标准值见下表。</w:t>
            </w:r>
          </w:p>
          <w:p>
            <w:pPr>
              <w:adjustRightInd w:val="0"/>
              <w:snapToGrid w:val="0"/>
              <w:ind w:firstLine="480" w:firstLineChars="200"/>
              <w:rPr>
                <w:color w:val="auto"/>
                <w:kern w:val="0"/>
                <w:sz w:val="28"/>
                <w:szCs w:val="28"/>
              </w:rPr>
            </w:pPr>
            <w:r>
              <w:rPr>
                <w:rFonts w:eastAsia="黑体"/>
                <w:color w:val="auto"/>
                <w:kern w:val="0"/>
                <w:sz w:val="24"/>
              </w:rPr>
              <w:t>表</w:t>
            </w:r>
            <w:r>
              <w:rPr>
                <w:rFonts w:hint="eastAsia" w:eastAsia="黑体"/>
                <w:color w:val="auto"/>
                <w:kern w:val="0"/>
                <w:sz w:val="24"/>
              </w:rPr>
              <w:t>7</w:t>
            </w:r>
            <w:r>
              <w:rPr>
                <w:rFonts w:eastAsia="黑体"/>
                <w:color w:val="auto"/>
                <w:kern w:val="0"/>
                <w:sz w:val="24"/>
              </w:rPr>
              <w:t xml:space="preserve">              环境空气质量标准（mg/m</w:t>
            </w:r>
            <w:r>
              <w:rPr>
                <w:rFonts w:eastAsia="黑体"/>
                <w:color w:val="auto"/>
                <w:kern w:val="0"/>
                <w:sz w:val="24"/>
                <w:vertAlign w:val="superscript"/>
              </w:rPr>
              <w:t>3</w:t>
            </w:r>
            <w:r>
              <w:rPr>
                <w:rFonts w:eastAsia="黑体"/>
                <w:color w:val="auto"/>
                <w:kern w:val="0"/>
                <w:sz w:val="24"/>
              </w:rPr>
              <w:t>）（二级）</w:t>
            </w:r>
          </w:p>
          <w:tbl>
            <w:tblPr>
              <w:tblStyle w:val="18"/>
              <w:tblW w:w="4998"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13"/>
              <w:gridCol w:w="958"/>
              <w:gridCol w:w="287"/>
              <w:gridCol w:w="471"/>
              <w:gridCol w:w="866"/>
              <w:gridCol w:w="936"/>
              <w:gridCol w:w="351"/>
              <w:gridCol w:w="471"/>
              <w:gridCol w:w="821"/>
              <w:gridCol w:w="850"/>
              <w:gridCol w:w="90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污染物</w:t>
                  </w:r>
                </w:p>
              </w:tc>
              <w:tc>
                <w:tcPr>
                  <w:tcW w:w="2582" w:type="dxa"/>
                  <w:gridSpan w:val="4"/>
                  <w:vAlign w:val="center"/>
                </w:tcPr>
                <w:p>
                  <w:pPr>
                    <w:adjustRightInd w:val="0"/>
                    <w:snapToGrid w:val="0"/>
                    <w:jc w:val="center"/>
                    <w:rPr>
                      <w:color w:val="auto"/>
                      <w:kern w:val="0"/>
                      <w:szCs w:val="21"/>
                    </w:rPr>
                  </w:pPr>
                  <w:r>
                    <w:rPr>
                      <w:color w:val="auto"/>
                      <w:kern w:val="0"/>
                      <w:szCs w:val="21"/>
                    </w:rPr>
                    <w:t>SO</w:t>
                  </w:r>
                  <w:r>
                    <w:rPr>
                      <w:color w:val="auto"/>
                      <w:kern w:val="0"/>
                      <w:szCs w:val="21"/>
                      <w:vertAlign w:val="subscript"/>
                    </w:rPr>
                    <w:t>2</w:t>
                  </w:r>
                </w:p>
              </w:tc>
              <w:tc>
                <w:tcPr>
                  <w:tcW w:w="2579" w:type="dxa"/>
                  <w:gridSpan w:val="4"/>
                  <w:tcBorders>
                    <w:right w:val="single" w:color="auto" w:sz="4" w:space="0"/>
                  </w:tcBorders>
                  <w:vAlign w:val="center"/>
                </w:tcPr>
                <w:p>
                  <w:pPr>
                    <w:adjustRightInd w:val="0"/>
                    <w:snapToGrid w:val="0"/>
                    <w:jc w:val="center"/>
                    <w:rPr>
                      <w:color w:val="auto"/>
                      <w:kern w:val="0"/>
                      <w:szCs w:val="21"/>
                    </w:rPr>
                  </w:pPr>
                  <w:r>
                    <w:rPr>
                      <w:color w:val="auto"/>
                      <w:kern w:val="0"/>
                      <w:szCs w:val="21"/>
                    </w:rPr>
                    <w:t>NO</w:t>
                  </w:r>
                  <w:r>
                    <w:rPr>
                      <w:color w:val="auto"/>
                      <w:kern w:val="0"/>
                      <w:szCs w:val="21"/>
                      <w:vertAlign w:val="subscript"/>
                    </w:rPr>
                    <w:t>2</w:t>
                  </w:r>
                </w:p>
              </w:tc>
              <w:tc>
                <w:tcPr>
                  <w:tcW w:w="1753" w:type="dxa"/>
                  <w:gridSpan w:val="2"/>
                  <w:tcBorders>
                    <w:left w:val="single" w:color="auto" w:sz="4" w:space="0"/>
                    <w:right w:val="nil"/>
                  </w:tcBorders>
                  <w:vAlign w:val="center"/>
                </w:tcPr>
                <w:p>
                  <w:pPr>
                    <w:adjustRightInd w:val="0"/>
                    <w:snapToGrid w:val="0"/>
                    <w:jc w:val="center"/>
                    <w:rPr>
                      <w:color w:val="auto"/>
                      <w:kern w:val="0"/>
                      <w:szCs w:val="21"/>
                    </w:rPr>
                  </w:pPr>
                  <w:r>
                    <w:rPr>
                      <w:color w:val="auto"/>
                      <w:kern w:val="0"/>
                      <w:szCs w:val="21"/>
                    </w:rPr>
                    <w:t>PM</w:t>
                  </w:r>
                  <w:r>
                    <w:rPr>
                      <w:color w:val="auto"/>
                      <w:kern w:val="0"/>
                      <w:szCs w:val="21"/>
                      <w:vertAlign w:val="subscript"/>
                    </w:rPr>
                    <w:t>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取值时</w:t>
                  </w:r>
                </w:p>
              </w:tc>
              <w:tc>
                <w:tcPr>
                  <w:tcW w:w="958" w:type="dxa"/>
                  <w:vAlign w:val="center"/>
                </w:tcPr>
                <w:p>
                  <w:pPr>
                    <w:adjustRightInd w:val="0"/>
                    <w:snapToGrid w:val="0"/>
                    <w:jc w:val="center"/>
                    <w:rPr>
                      <w:color w:val="auto"/>
                      <w:kern w:val="0"/>
                      <w:szCs w:val="21"/>
                    </w:rPr>
                  </w:pPr>
                  <w:r>
                    <w:rPr>
                      <w:color w:val="auto"/>
                      <w:kern w:val="0"/>
                      <w:szCs w:val="21"/>
                    </w:rPr>
                    <w:t>小时平均</w:t>
                  </w:r>
                </w:p>
              </w:tc>
              <w:tc>
                <w:tcPr>
                  <w:tcW w:w="758" w:type="dxa"/>
                  <w:gridSpan w:val="2"/>
                  <w:vAlign w:val="center"/>
                </w:tcPr>
                <w:p>
                  <w:pPr>
                    <w:adjustRightInd w:val="0"/>
                    <w:snapToGrid w:val="0"/>
                    <w:jc w:val="center"/>
                    <w:rPr>
                      <w:color w:val="auto"/>
                      <w:kern w:val="0"/>
                      <w:szCs w:val="21"/>
                    </w:rPr>
                  </w:pPr>
                  <w:r>
                    <w:rPr>
                      <w:color w:val="auto"/>
                      <w:kern w:val="0"/>
                      <w:szCs w:val="21"/>
                    </w:rPr>
                    <w:t>日平均</w:t>
                  </w:r>
                </w:p>
              </w:tc>
              <w:tc>
                <w:tcPr>
                  <w:tcW w:w="866" w:type="dxa"/>
                  <w:vAlign w:val="center"/>
                </w:tcPr>
                <w:p>
                  <w:pPr>
                    <w:adjustRightInd w:val="0"/>
                    <w:snapToGrid w:val="0"/>
                    <w:jc w:val="center"/>
                    <w:rPr>
                      <w:color w:val="auto"/>
                      <w:kern w:val="0"/>
                      <w:szCs w:val="21"/>
                    </w:rPr>
                  </w:pPr>
                  <w:r>
                    <w:rPr>
                      <w:color w:val="auto"/>
                      <w:kern w:val="0"/>
                      <w:szCs w:val="21"/>
                    </w:rPr>
                    <w:t>年平均</w:t>
                  </w:r>
                </w:p>
              </w:tc>
              <w:tc>
                <w:tcPr>
                  <w:tcW w:w="936" w:type="dxa"/>
                  <w:vAlign w:val="center"/>
                </w:tcPr>
                <w:p>
                  <w:pPr>
                    <w:adjustRightInd w:val="0"/>
                    <w:snapToGrid w:val="0"/>
                    <w:jc w:val="center"/>
                    <w:rPr>
                      <w:color w:val="auto"/>
                      <w:kern w:val="0"/>
                      <w:szCs w:val="21"/>
                    </w:rPr>
                  </w:pPr>
                  <w:r>
                    <w:rPr>
                      <w:color w:val="auto"/>
                      <w:kern w:val="0"/>
                      <w:szCs w:val="21"/>
                    </w:rPr>
                    <w:t>小时平均</w:t>
                  </w:r>
                </w:p>
              </w:tc>
              <w:tc>
                <w:tcPr>
                  <w:tcW w:w="822" w:type="dxa"/>
                  <w:gridSpan w:val="2"/>
                  <w:vAlign w:val="center"/>
                </w:tcPr>
                <w:p>
                  <w:pPr>
                    <w:adjustRightInd w:val="0"/>
                    <w:snapToGrid w:val="0"/>
                    <w:jc w:val="center"/>
                    <w:rPr>
                      <w:color w:val="auto"/>
                      <w:kern w:val="0"/>
                      <w:szCs w:val="21"/>
                    </w:rPr>
                  </w:pPr>
                  <w:r>
                    <w:rPr>
                      <w:color w:val="auto"/>
                      <w:kern w:val="0"/>
                      <w:szCs w:val="21"/>
                    </w:rPr>
                    <w:t>日平均</w:t>
                  </w:r>
                </w:p>
              </w:tc>
              <w:tc>
                <w:tcPr>
                  <w:tcW w:w="821" w:type="dxa"/>
                  <w:tcBorders>
                    <w:right w:val="single" w:color="auto" w:sz="4" w:space="0"/>
                  </w:tcBorders>
                  <w:vAlign w:val="center"/>
                </w:tcPr>
                <w:p>
                  <w:pPr>
                    <w:adjustRightInd w:val="0"/>
                    <w:snapToGrid w:val="0"/>
                    <w:jc w:val="center"/>
                    <w:rPr>
                      <w:color w:val="auto"/>
                      <w:kern w:val="0"/>
                      <w:szCs w:val="21"/>
                    </w:rPr>
                  </w:pPr>
                  <w:r>
                    <w:rPr>
                      <w:color w:val="auto"/>
                      <w:kern w:val="0"/>
                      <w:szCs w:val="21"/>
                    </w:rPr>
                    <w:t>年平均</w:t>
                  </w:r>
                </w:p>
              </w:tc>
              <w:tc>
                <w:tcPr>
                  <w:tcW w:w="850" w:type="dxa"/>
                  <w:tcBorders>
                    <w:left w:val="single" w:color="auto" w:sz="4" w:space="0"/>
                  </w:tcBorders>
                  <w:vAlign w:val="center"/>
                </w:tcPr>
                <w:p>
                  <w:pPr>
                    <w:adjustRightInd w:val="0"/>
                    <w:snapToGrid w:val="0"/>
                    <w:jc w:val="center"/>
                    <w:rPr>
                      <w:color w:val="auto"/>
                      <w:kern w:val="0"/>
                      <w:szCs w:val="21"/>
                    </w:rPr>
                  </w:pPr>
                  <w:r>
                    <w:rPr>
                      <w:color w:val="auto"/>
                      <w:kern w:val="0"/>
                      <w:szCs w:val="21"/>
                    </w:rPr>
                    <w:t>日平均</w:t>
                  </w:r>
                </w:p>
              </w:tc>
              <w:tc>
                <w:tcPr>
                  <w:tcW w:w="903" w:type="dxa"/>
                  <w:tcBorders>
                    <w:right w:val="nil"/>
                  </w:tcBorders>
                  <w:vAlign w:val="center"/>
                </w:tcPr>
                <w:p>
                  <w:pPr>
                    <w:adjustRightInd w:val="0"/>
                    <w:snapToGrid w:val="0"/>
                    <w:jc w:val="center"/>
                    <w:rPr>
                      <w:color w:val="auto"/>
                      <w:kern w:val="0"/>
                      <w:szCs w:val="21"/>
                    </w:rPr>
                  </w:pPr>
                  <w:r>
                    <w:rPr>
                      <w:color w:val="auto"/>
                      <w:kern w:val="0"/>
                      <w:szCs w:val="21"/>
                    </w:rPr>
                    <w:t>年平均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浓度限值</w:t>
                  </w:r>
                </w:p>
              </w:tc>
              <w:tc>
                <w:tcPr>
                  <w:tcW w:w="958" w:type="dxa"/>
                  <w:vAlign w:val="center"/>
                </w:tcPr>
                <w:p>
                  <w:pPr>
                    <w:adjustRightInd w:val="0"/>
                    <w:snapToGrid w:val="0"/>
                    <w:jc w:val="center"/>
                    <w:rPr>
                      <w:color w:val="auto"/>
                      <w:kern w:val="0"/>
                      <w:szCs w:val="21"/>
                    </w:rPr>
                  </w:pPr>
                  <w:r>
                    <w:rPr>
                      <w:color w:val="auto"/>
                      <w:kern w:val="0"/>
                      <w:szCs w:val="21"/>
                    </w:rPr>
                    <w:t>0.50</w:t>
                  </w:r>
                </w:p>
              </w:tc>
              <w:tc>
                <w:tcPr>
                  <w:tcW w:w="758" w:type="dxa"/>
                  <w:gridSpan w:val="2"/>
                  <w:vAlign w:val="center"/>
                </w:tcPr>
                <w:p>
                  <w:pPr>
                    <w:adjustRightInd w:val="0"/>
                    <w:snapToGrid w:val="0"/>
                    <w:jc w:val="center"/>
                    <w:rPr>
                      <w:color w:val="auto"/>
                      <w:kern w:val="0"/>
                      <w:szCs w:val="21"/>
                    </w:rPr>
                  </w:pPr>
                  <w:r>
                    <w:rPr>
                      <w:color w:val="auto"/>
                      <w:kern w:val="0"/>
                      <w:szCs w:val="21"/>
                    </w:rPr>
                    <w:t>0.15</w:t>
                  </w:r>
                </w:p>
              </w:tc>
              <w:tc>
                <w:tcPr>
                  <w:tcW w:w="866" w:type="dxa"/>
                  <w:vAlign w:val="center"/>
                </w:tcPr>
                <w:p>
                  <w:pPr>
                    <w:adjustRightInd w:val="0"/>
                    <w:snapToGrid w:val="0"/>
                    <w:jc w:val="center"/>
                    <w:rPr>
                      <w:color w:val="auto"/>
                      <w:kern w:val="0"/>
                      <w:szCs w:val="21"/>
                    </w:rPr>
                  </w:pPr>
                  <w:r>
                    <w:rPr>
                      <w:color w:val="auto"/>
                      <w:kern w:val="0"/>
                      <w:szCs w:val="21"/>
                    </w:rPr>
                    <w:t>0.06</w:t>
                  </w:r>
                </w:p>
              </w:tc>
              <w:tc>
                <w:tcPr>
                  <w:tcW w:w="936" w:type="dxa"/>
                  <w:vAlign w:val="center"/>
                </w:tcPr>
                <w:p>
                  <w:pPr>
                    <w:adjustRightInd w:val="0"/>
                    <w:snapToGrid w:val="0"/>
                    <w:jc w:val="center"/>
                    <w:rPr>
                      <w:color w:val="auto"/>
                      <w:kern w:val="0"/>
                      <w:szCs w:val="21"/>
                    </w:rPr>
                  </w:pPr>
                  <w:r>
                    <w:rPr>
                      <w:color w:val="auto"/>
                      <w:kern w:val="0"/>
                      <w:szCs w:val="21"/>
                    </w:rPr>
                    <w:t>0.2</w:t>
                  </w:r>
                </w:p>
              </w:tc>
              <w:tc>
                <w:tcPr>
                  <w:tcW w:w="822" w:type="dxa"/>
                  <w:gridSpan w:val="2"/>
                  <w:vAlign w:val="center"/>
                </w:tcPr>
                <w:p>
                  <w:pPr>
                    <w:adjustRightInd w:val="0"/>
                    <w:snapToGrid w:val="0"/>
                    <w:jc w:val="center"/>
                    <w:rPr>
                      <w:color w:val="auto"/>
                      <w:kern w:val="0"/>
                      <w:szCs w:val="21"/>
                    </w:rPr>
                  </w:pPr>
                  <w:r>
                    <w:rPr>
                      <w:color w:val="auto"/>
                      <w:kern w:val="0"/>
                      <w:szCs w:val="21"/>
                    </w:rPr>
                    <w:t>0.08</w:t>
                  </w:r>
                </w:p>
              </w:tc>
              <w:tc>
                <w:tcPr>
                  <w:tcW w:w="821" w:type="dxa"/>
                  <w:vAlign w:val="center"/>
                </w:tcPr>
                <w:p>
                  <w:pPr>
                    <w:adjustRightInd w:val="0"/>
                    <w:snapToGrid w:val="0"/>
                    <w:jc w:val="center"/>
                    <w:rPr>
                      <w:color w:val="auto"/>
                      <w:kern w:val="0"/>
                      <w:szCs w:val="21"/>
                    </w:rPr>
                  </w:pPr>
                  <w:r>
                    <w:rPr>
                      <w:color w:val="auto"/>
                      <w:kern w:val="0"/>
                      <w:szCs w:val="21"/>
                    </w:rPr>
                    <w:t>0.04</w:t>
                  </w:r>
                </w:p>
              </w:tc>
              <w:tc>
                <w:tcPr>
                  <w:tcW w:w="850" w:type="dxa"/>
                  <w:vAlign w:val="center"/>
                </w:tcPr>
                <w:p>
                  <w:pPr>
                    <w:adjustRightInd w:val="0"/>
                    <w:snapToGrid w:val="0"/>
                    <w:jc w:val="center"/>
                    <w:rPr>
                      <w:color w:val="auto"/>
                      <w:kern w:val="0"/>
                      <w:szCs w:val="21"/>
                    </w:rPr>
                  </w:pPr>
                  <w:r>
                    <w:rPr>
                      <w:color w:val="auto"/>
                      <w:kern w:val="0"/>
                      <w:szCs w:val="21"/>
                    </w:rPr>
                    <w:t>0.15</w:t>
                  </w:r>
                </w:p>
              </w:tc>
              <w:tc>
                <w:tcPr>
                  <w:tcW w:w="903" w:type="dxa"/>
                  <w:tcBorders>
                    <w:right w:val="nil"/>
                  </w:tcBorders>
                  <w:vAlign w:val="center"/>
                </w:tcPr>
                <w:p>
                  <w:pPr>
                    <w:adjustRightInd w:val="0"/>
                    <w:snapToGrid w:val="0"/>
                    <w:jc w:val="center"/>
                    <w:rPr>
                      <w:color w:val="auto"/>
                      <w:kern w:val="0"/>
                      <w:szCs w:val="21"/>
                    </w:rPr>
                  </w:pPr>
                  <w:r>
                    <w:rPr>
                      <w:color w:val="auto"/>
                      <w:kern w:val="0"/>
                      <w:szCs w:val="21"/>
                    </w:rPr>
                    <w:t>0.07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污染物</w:t>
                  </w:r>
                </w:p>
              </w:tc>
              <w:tc>
                <w:tcPr>
                  <w:tcW w:w="2582" w:type="dxa"/>
                  <w:gridSpan w:val="4"/>
                  <w:vAlign w:val="center"/>
                </w:tcPr>
                <w:p>
                  <w:pPr>
                    <w:adjustRightInd w:val="0"/>
                    <w:snapToGrid w:val="0"/>
                    <w:jc w:val="center"/>
                    <w:rPr>
                      <w:color w:val="auto"/>
                      <w:kern w:val="0"/>
                      <w:szCs w:val="21"/>
                    </w:rPr>
                  </w:pPr>
                  <w:r>
                    <w:rPr>
                      <w:color w:val="auto"/>
                      <w:kern w:val="0"/>
                      <w:szCs w:val="21"/>
                    </w:rPr>
                    <w:t>O</w:t>
                  </w:r>
                  <w:r>
                    <w:rPr>
                      <w:color w:val="auto"/>
                      <w:kern w:val="0"/>
                      <w:szCs w:val="21"/>
                      <w:vertAlign w:val="subscript"/>
                    </w:rPr>
                    <w:t>3</w:t>
                  </w:r>
                </w:p>
              </w:tc>
              <w:tc>
                <w:tcPr>
                  <w:tcW w:w="2579" w:type="dxa"/>
                  <w:gridSpan w:val="4"/>
                  <w:vAlign w:val="center"/>
                </w:tcPr>
                <w:p>
                  <w:pPr>
                    <w:adjustRightInd w:val="0"/>
                    <w:snapToGrid w:val="0"/>
                    <w:jc w:val="center"/>
                    <w:rPr>
                      <w:color w:val="auto"/>
                      <w:kern w:val="0"/>
                      <w:szCs w:val="21"/>
                    </w:rPr>
                  </w:pPr>
                  <w:r>
                    <w:rPr>
                      <w:color w:val="auto"/>
                      <w:kern w:val="0"/>
                      <w:szCs w:val="21"/>
                    </w:rPr>
                    <w:t>CO</w:t>
                  </w:r>
                </w:p>
              </w:tc>
              <w:tc>
                <w:tcPr>
                  <w:tcW w:w="1753" w:type="dxa"/>
                  <w:gridSpan w:val="2"/>
                  <w:tcBorders>
                    <w:right w:val="nil"/>
                  </w:tcBorders>
                  <w:vAlign w:val="center"/>
                </w:tcPr>
                <w:p>
                  <w:pPr>
                    <w:adjustRightInd w:val="0"/>
                    <w:snapToGrid w:val="0"/>
                    <w:jc w:val="center"/>
                    <w:rPr>
                      <w:color w:val="auto"/>
                      <w:kern w:val="0"/>
                      <w:szCs w:val="21"/>
                    </w:rPr>
                  </w:pPr>
                  <w:r>
                    <w:rPr>
                      <w:color w:val="auto"/>
                      <w:kern w:val="0"/>
                      <w:szCs w:val="21"/>
                    </w:rPr>
                    <w:t>PM</w:t>
                  </w:r>
                  <w:r>
                    <w:rPr>
                      <w:color w:val="auto"/>
                      <w:kern w:val="0"/>
                      <w:szCs w:val="21"/>
                      <w:vertAlign w:val="subscript"/>
                    </w:rPr>
                    <w:t>2.5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取值时</w:t>
                  </w:r>
                </w:p>
              </w:tc>
              <w:tc>
                <w:tcPr>
                  <w:tcW w:w="1245" w:type="dxa"/>
                  <w:gridSpan w:val="2"/>
                  <w:vAlign w:val="center"/>
                </w:tcPr>
                <w:p>
                  <w:pPr>
                    <w:adjustRightInd w:val="0"/>
                    <w:snapToGrid w:val="0"/>
                    <w:jc w:val="center"/>
                    <w:rPr>
                      <w:color w:val="auto"/>
                      <w:kern w:val="0"/>
                      <w:szCs w:val="21"/>
                    </w:rPr>
                  </w:pPr>
                  <w:r>
                    <w:rPr>
                      <w:color w:val="auto"/>
                      <w:kern w:val="0"/>
                      <w:szCs w:val="21"/>
                    </w:rPr>
                    <w:t>日最大8小时平均</w:t>
                  </w:r>
                </w:p>
              </w:tc>
              <w:tc>
                <w:tcPr>
                  <w:tcW w:w="1337" w:type="dxa"/>
                  <w:gridSpan w:val="2"/>
                  <w:vAlign w:val="center"/>
                </w:tcPr>
                <w:p>
                  <w:pPr>
                    <w:adjustRightInd w:val="0"/>
                    <w:snapToGrid w:val="0"/>
                    <w:jc w:val="center"/>
                    <w:rPr>
                      <w:color w:val="auto"/>
                      <w:kern w:val="0"/>
                      <w:szCs w:val="21"/>
                    </w:rPr>
                  </w:pPr>
                  <w:r>
                    <w:rPr>
                      <w:color w:val="auto"/>
                      <w:kern w:val="0"/>
                      <w:szCs w:val="21"/>
                    </w:rPr>
                    <w:t>小时平均</w:t>
                  </w:r>
                </w:p>
              </w:tc>
              <w:tc>
                <w:tcPr>
                  <w:tcW w:w="1287" w:type="dxa"/>
                  <w:gridSpan w:val="2"/>
                  <w:vAlign w:val="center"/>
                </w:tcPr>
                <w:p>
                  <w:pPr>
                    <w:adjustRightInd w:val="0"/>
                    <w:snapToGrid w:val="0"/>
                    <w:jc w:val="center"/>
                    <w:rPr>
                      <w:color w:val="auto"/>
                      <w:kern w:val="0"/>
                      <w:szCs w:val="21"/>
                    </w:rPr>
                  </w:pPr>
                  <w:r>
                    <w:rPr>
                      <w:color w:val="auto"/>
                      <w:kern w:val="0"/>
                      <w:szCs w:val="21"/>
                    </w:rPr>
                    <w:t>小时平均</w:t>
                  </w:r>
                </w:p>
              </w:tc>
              <w:tc>
                <w:tcPr>
                  <w:tcW w:w="1292" w:type="dxa"/>
                  <w:gridSpan w:val="2"/>
                  <w:vAlign w:val="center"/>
                </w:tcPr>
                <w:p>
                  <w:pPr>
                    <w:adjustRightInd w:val="0"/>
                    <w:snapToGrid w:val="0"/>
                    <w:jc w:val="center"/>
                    <w:rPr>
                      <w:color w:val="auto"/>
                      <w:kern w:val="0"/>
                      <w:szCs w:val="21"/>
                    </w:rPr>
                  </w:pPr>
                  <w:r>
                    <w:rPr>
                      <w:color w:val="auto"/>
                      <w:kern w:val="0"/>
                      <w:szCs w:val="21"/>
                    </w:rPr>
                    <w:t>日平均</w:t>
                  </w:r>
                </w:p>
              </w:tc>
              <w:tc>
                <w:tcPr>
                  <w:tcW w:w="850" w:type="dxa"/>
                  <w:vAlign w:val="center"/>
                </w:tcPr>
                <w:p>
                  <w:pPr>
                    <w:adjustRightInd w:val="0"/>
                    <w:snapToGrid w:val="0"/>
                    <w:jc w:val="center"/>
                    <w:rPr>
                      <w:color w:val="auto"/>
                      <w:kern w:val="0"/>
                      <w:szCs w:val="21"/>
                    </w:rPr>
                  </w:pPr>
                  <w:r>
                    <w:rPr>
                      <w:color w:val="auto"/>
                      <w:kern w:val="0"/>
                      <w:szCs w:val="21"/>
                    </w:rPr>
                    <w:t>日平均</w:t>
                  </w:r>
                </w:p>
              </w:tc>
              <w:tc>
                <w:tcPr>
                  <w:tcW w:w="903" w:type="dxa"/>
                  <w:tcBorders>
                    <w:right w:val="nil"/>
                  </w:tcBorders>
                  <w:vAlign w:val="center"/>
                </w:tcPr>
                <w:p>
                  <w:pPr>
                    <w:adjustRightInd w:val="0"/>
                    <w:snapToGrid w:val="0"/>
                    <w:jc w:val="center"/>
                    <w:rPr>
                      <w:color w:val="auto"/>
                      <w:kern w:val="0"/>
                      <w:szCs w:val="21"/>
                    </w:rPr>
                  </w:pPr>
                  <w:r>
                    <w:rPr>
                      <w:color w:val="auto"/>
                      <w:kern w:val="0"/>
                      <w:szCs w:val="21"/>
                    </w:rPr>
                    <w:t>年平均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0" w:hRule="atLeast"/>
                <w:jc w:val="center"/>
              </w:trPr>
              <w:tc>
                <w:tcPr>
                  <w:tcW w:w="913" w:type="dxa"/>
                  <w:tcBorders>
                    <w:left w:val="nil"/>
                  </w:tcBorders>
                  <w:vAlign w:val="center"/>
                </w:tcPr>
                <w:p>
                  <w:pPr>
                    <w:adjustRightInd w:val="0"/>
                    <w:snapToGrid w:val="0"/>
                    <w:jc w:val="center"/>
                    <w:rPr>
                      <w:color w:val="auto"/>
                      <w:kern w:val="0"/>
                      <w:szCs w:val="21"/>
                    </w:rPr>
                  </w:pPr>
                  <w:r>
                    <w:rPr>
                      <w:color w:val="auto"/>
                      <w:kern w:val="0"/>
                      <w:szCs w:val="21"/>
                    </w:rPr>
                    <w:t>浓度限值</w:t>
                  </w:r>
                </w:p>
              </w:tc>
              <w:tc>
                <w:tcPr>
                  <w:tcW w:w="1245" w:type="dxa"/>
                  <w:gridSpan w:val="2"/>
                  <w:vAlign w:val="center"/>
                </w:tcPr>
                <w:p>
                  <w:pPr>
                    <w:adjustRightInd w:val="0"/>
                    <w:snapToGrid w:val="0"/>
                    <w:jc w:val="center"/>
                    <w:rPr>
                      <w:color w:val="auto"/>
                      <w:kern w:val="0"/>
                      <w:szCs w:val="21"/>
                    </w:rPr>
                  </w:pPr>
                  <w:r>
                    <w:rPr>
                      <w:color w:val="auto"/>
                      <w:kern w:val="0"/>
                      <w:szCs w:val="21"/>
                    </w:rPr>
                    <w:t>0.16</w:t>
                  </w:r>
                </w:p>
              </w:tc>
              <w:tc>
                <w:tcPr>
                  <w:tcW w:w="1337" w:type="dxa"/>
                  <w:gridSpan w:val="2"/>
                  <w:vAlign w:val="center"/>
                </w:tcPr>
                <w:p>
                  <w:pPr>
                    <w:adjustRightInd w:val="0"/>
                    <w:snapToGrid w:val="0"/>
                    <w:jc w:val="center"/>
                    <w:rPr>
                      <w:color w:val="auto"/>
                      <w:kern w:val="0"/>
                      <w:szCs w:val="21"/>
                    </w:rPr>
                  </w:pPr>
                  <w:r>
                    <w:rPr>
                      <w:color w:val="auto"/>
                      <w:kern w:val="0"/>
                      <w:szCs w:val="21"/>
                    </w:rPr>
                    <w:t>0.2</w:t>
                  </w:r>
                </w:p>
              </w:tc>
              <w:tc>
                <w:tcPr>
                  <w:tcW w:w="1287" w:type="dxa"/>
                  <w:gridSpan w:val="2"/>
                  <w:vAlign w:val="center"/>
                </w:tcPr>
                <w:p>
                  <w:pPr>
                    <w:adjustRightInd w:val="0"/>
                    <w:snapToGrid w:val="0"/>
                    <w:jc w:val="center"/>
                    <w:rPr>
                      <w:color w:val="auto"/>
                      <w:kern w:val="0"/>
                      <w:szCs w:val="21"/>
                    </w:rPr>
                  </w:pPr>
                  <w:r>
                    <w:rPr>
                      <w:color w:val="auto"/>
                      <w:kern w:val="0"/>
                      <w:szCs w:val="21"/>
                    </w:rPr>
                    <w:t>10</w:t>
                  </w:r>
                </w:p>
              </w:tc>
              <w:tc>
                <w:tcPr>
                  <w:tcW w:w="1292" w:type="dxa"/>
                  <w:gridSpan w:val="2"/>
                  <w:vAlign w:val="center"/>
                </w:tcPr>
                <w:p>
                  <w:pPr>
                    <w:adjustRightInd w:val="0"/>
                    <w:snapToGrid w:val="0"/>
                    <w:jc w:val="center"/>
                    <w:rPr>
                      <w:color w:val="auto"/>
                      <w:kern w:val="0"/>
                      <w:szCs w:val="21"/>
                    </w:rPr>
                  </w:pPr>
                  <w:r>
                    <w:rPr>
                      <w:color w:val="auto"/>
                      <w:kern w:val="0"/>
                      <w:szCs w:val="21"/>
                    </w:rPr>
                    <w:t>4</w:t>
                  </w:r>
                </w:p>
              </w:tc>
              <w:tc>
                <w:tcPr>
                  <w:tcW w:w="850" w:type="dxa"/>
                  <w:vAlign w:val="center"/>
                </w:tcPr>
                <w:p>
                  <w:pPr>
                    <w:adjustRightInd w:val="0"/>
                    <w:snapToGrid w:val="0"/>
                    <w:jc w:val="center"/>
                    <w:rPr>
                      <w:color w:val="auto"/>
                      <w:kern w:val="0"/>
                      <w:szCs w:val="21"/>
                    </w:rPr>
                  </w:pPr>
                  <w:r>
                    <w:rPr>
                      <w:color w:val="auto"/>
                      <w:kern w:val="0"/>
                      <w:szCs w:val="21"/>
                    </w:rPr>
                    <w:t>0.075</w:t>
                  </w:r>
                </w:p>
              </w:tc>
              <w:tc>
                <w:tcPr>
                  <w:tcW w:w="903" w:type="dxa"/>
                  <w:tcBorders>
                    <w:right w:val="nil"/>
                  </w:tcBorders>
                  <w:vAlign w:val="center"/>
                </w:tcPr>
                <w:p>
                  <w:pPr>
                    <w:adjustRightInd w:val="0"/>
                    <w:snapToGrid w:val="0"/>
                    <w:jc w:val="center"/>
                    <w:rPr>
                      <w:color w:val="auto"/>
                      <w:kern w:val="0"/>
                      <w:szCs w:val="21"/>
                    </w:rPr>
                  </w:pPr>
                  <w:r>
                    <w:rPr>
                      <w:color w:val="auto"/>
                      <w:kern w:val="0"/>
                      <w:szCs w:val="21"/>
                    </w:rPr>
                    <w:t>0.035</w:t>
                  </w:r>
                </w:p>
              </w:tc>
            </w:tr>
          </w:tbl>
          <w:p>
            <w:pPr>
              <w:adjustRightInd w:val="0"/>
              <w:snapToGrid w:val="0"/>
              <w:spacing w:line="520" w:lineRule="exact"/>
              <w:rPr>
                <w:b/>
                <w:bCs/>
                <w:color w:val="auto"/>
                <w:kern w:val="0"/>
                <w:sz w:val="28"/>
                <w:szCs w:val="28"/>
              </w:rPr>
            </w:pPr>
          </w:p>
          <w:p>
            <w:pPr>
              <w:adjustRightInd w:val="0"/>
              <w:snapToGrid w:val="0"/>
              <w:spacing w:line="520" w:lineRule="exact"/>
              <w:rPr>
                <w:color w:val="auto"/>
                <w:kern w:val="0"/>
                <w:sz w:val="28"/>
                <w:szCs w:val="28"/>
              </w:rPr>
            </w:pPr>
            <w:r>
              <w:rPr>
                <w:b/>
                <w:bCs/>
                <w:color w:val="auto"/>
                <w:kern w:val="0"/>
                <w:sz w:val="28"/>
                <w:szCs w:val="28"/>
              </w:rPr>
              <w:t>1.3.2评价方法</w:t>
            </w:r>
          </w:p>
          <w:p>
            <w:pPr>
              <w:adjustRightInd w:val="0"/>
              <w:snapToGrid w:val="0"/>
              <w:spacing w:line="520" w:lineRule="exact"/>
              <w:ind w:firstLine="560" w:firstLineChars="200"/>
              <w:rPr>
                <w:color w:val="auto"/>
                <w:kern w:val="0"/>
                <w:sz w:val="28"/>
                <w:szCs w:val="28"/>
              </w:rPr>
            </w:pPr>
            <w:r>
              <w:rPr>
                <w:color w:val="auto"/>
                <w:kern w:val="0"/>
                <w:sz w:val="28"/>
                <w:szCs w:val="28"/>
              </w:rPr>
              <w:t>选用占标率进行评价，公式为：</w:t>
            </w:r>
          </w:p>
          <w:p>
            <w:pPr>
              <w:adjustRightInd w:val="0"/>
              <w:snapToGrid w:val="0"/>
              <w:spacing w:line="520" w:lineRule="exact"/>
              <w:jc w:val="center"/>
              <w:rPr>
                <w:color w:val="auto"/>
                <w:kern w:val="0"/>
                <w:sz w:val="28"/>
                <w:szCs w:val="28"/>
              </w:rPr>
            </w:pPr>
            <w:r>
              <w:rPr>
                <w:color w:val="auto"/>
                <w:kern w:val="0"/>
                <w:sz w:val="28"/>
                <w:szCs w:val="28"/>
              </w:rPr>
              <w:t>P</w:t>
            </w:r>
            <w:r>
              <w:rPr>
                <w:color w:val="auto"/>
                <w:kern w:val="0"/>
                <w:sz w:val="28"/>
                <w:szCs w:val="28"/>
                <w:vertAlign w:val="subscript"/>
              </w:rPr>
              <w:t>i</w:t>
            </w:r>
            <w:r>
              <w:rPr>
                <w:color w:val="auto"/>
                <w:kern w:val="0"/>
                <w:sz w:val="28"/>
                <w:szCs w:val="28"/>
              </w:rPr>
              <w:t>＝C</w:t>
            </w:r>
            <w:r>
              <w:rPr>
                <w:color w:val="auto"/>
                <w:kern w:val="0"/>
                <w:sz w:val="28"/>
                <w:szCs w:val="28"/>
                <w:vertAlign w:val="subscript"/>
              </w:rPr>
              <w:t>i</w:t>
            </w:r>
            <w:r>
              <w:rPr>
                <w:color w:val="auto"/>
                <w:kern w:val="0"/>
                <w:sz w:val="28"/>
                <w:szCs w:val="28"/>
              </w:rPr>
              <w:t>/C</w:t>
            </w:r>
            <w:r>
              <w:rPr>
                <w:color w:val="auto"/>
                <w:kern w:val="0"/>
                <w:sz w:val="28"/>
                <w:szCs w:val="28"/>
                <w:vertAlign w:val="subscript"/>
              </w:rPr>
              <w:t>oi</w:t>
            </w:r>
          </w:p>
          <w:p>
            <w:pPr>
              <w:adjustRightInd w:val="0"/>
              <w:snapToGrid w:val="0"/>
              <w:spacing w:line="520" w:lineRule="exact"/>
              <w:ind w:firstLine="560" w:firstLineChars="200"/>
              <w:rPr>
                <w:color w:val="auto"/>
                <w:kern w:val="0"/>
                <w:sz w:val="28"/>
                <w:szCs w:val="28"/>
              </w:rPr>
            </w:pPr>
            <w:r>
              <w:rPr>
                <w:color w:val="auto"/>
                <w:kern w:val="0"/>
                <w:sz w:val="28"/>
                <w:szCs w:val="28"/>
              </w:rPr>
              <w:t>式中，P</w:t>
            </w:r>
            <w:r>
              <w:rPr>
                <w:color w:val="auto"/>
                <w:kern w:val="0"/>
                <w:sz w:val="28"/>
                <w:szCs w:val="28"/>
                <w:vertAlign w:val="subscript"/>
              </w:rPr>
              <w:t>i</w:t>
            </w:r>
            <w:r>
              <w:rPr>
                <w:color w:val="auto"/>
                <w:kern w:val="0"/>
                <w:sz w:val="28"/>
                <w:szCs w:val="28"/>
              </w:rPr>
              <w:t>－第i个污染物的最大地面质量浓度占标率，%；</w:t>
            </w:r>
          </w:p>
          <w:p>
            <w:pPr>
              <w:adjustRightInd w:val="0"/>
              <w:snapToGrid w:val="0"/>
              <w:spacing w:line="520" w:lineRule="exact"/>
              <w:ind w:firstLine="1400" w:firstLineChars="500"/>
              <w:rPr>
                <w:color w:val="auto"/>
                <w:kern w:val="0"/>
                <w:sz w:val="28"/>
                <w:szCs w:val="28"/>
              </w:rPr>
            </w:pPr>
            <w:r>
              <w:rPr>
                <w:color w:val="auto"/>
                <w:kern w:val="0"/>
                <w:sz w:val="28"/>
                <w:szCs w:val="28"/>
              </w:rPr>
              <w:t>C</w:t>
            </w:r>
            <w:r>
              <w:rPr>
                <w:color w:val="auto"/>
                <w:kern w:val="0"/>
                <w:sz w:val="28"/>
                <w:szCs w:val="28"/>
                <w:vertAlign w:val="subscript"/>
              </w:rPr>
              <w:t>i</w:t>
            </w:r>
            <w:r>
              <w:rPr>
                <w:color w:val="auto"/>
                <w:kern w:val="0"/>
                <w:sz w:val="28"/>
                <w:szCs w:val="28"/>
              </w:rPr>
              <w:t>－第i个污染物的浓度，mg/m</w:t>
            </w:r>
            <w:r>
              <w:rPr>
                <w:color w:val="auto"/>
                <w:kern w:val="0"/>
                <w:sz w:val="28"/>
                <w:szCs w:val="28"/>
                <w:vertAlign w:val="superscript"/>
              </w:rPr>
              <w:t>3</w:t>
            </w:r>
            <w:r>
              <w:rPr>
                <w:color w:val="auto"/>
                <w:kern w:val="0"/>
                <w:sz w:val="28"/>
                <w:szCs w:val="28"/>
              </w:rPr>
              <w:t>（标准状态）；</w:t>
            </w:r>
          </w:p>
          <w:p>
            <w:pPr>
              <w:adjustRightInd w:val="0"/>
              <w:snapToGrid w:val="0"/>
              <w:spacing w:line="520" w:lineRule="exact"/>
              <w:ind w:firstLine="1400" w:firstLineChars="500"/>
              <w:rPr>
                <w:color w:val="auto"/>
                <w:kern w:val="0"/>
                <w:sz w:val="28"/>
                <w:szCs w:val="28"/>
              </w:rPr>
            </w:pPr>
            <w:r>
              <w:rPr>
                <w:color w:val="auto"/>
                <w:kern w:val="0"/>
                <w:sz w:val="28"/>
                <w:szCs w:val="28"/>
              </w:rPr>
              <w:t>C</w:t>
            </w:r>
            <w:r>
              <w:rPr>
                <w:color w:val="auto"/>
                <w:kern w:val="0"/>
                <w:sz w:val="28"/>
                <w:szCs w:val="28"/>
                <w:vertAlign w:val="subscript"/>
              </w:rPr>
              <w:t>oi</w:t>
            </w:r>
            <w:r>
              <w:rPr>
                <w:color w:val="auto"/>
                <w:kern w:val="0"/>
                <w:sz w:val="28"/>
                <w:szCs w:val="28"/>
              </w:rPr>
              <w:t>－第i个污染物的环境空气质量浓度标准，mg/m</w:t>
            </w:r>
            <w:r>
              <w:rPr>
                <w:color w:val="auto"/>
                <w:kern w:val="0"/>
                <w:sz w:val="28"/>
                <w:szCs w:val="28"/>
                <w:vertAlign w:val="superscript"/>
              </w:rPr>
              <w:t>3</w:t>
            </w:r>
            <w:r>
              <w:rPr>
                <w:color w:val="auto"/>
                <w:kern w:val="0"/>
                <w:sz w:val="28"/>
                <w:szCs w:val="28"/>
              </w:rPr>
              <w:t>（标准状态）。</w:t>
            </w:r>
          </w:p>
          <w:p>
            <w:pPr>
              <w:adjustRightInd w:val="0"/>
              <w:snapToGrid w:val="0"/>
              <w:spacing w:line="520" w:lineRule="exact"/>
              <w:rPr>
                <w:color w:val="auto"/>
                <w:kern w:val="0"/>
                <w:sz w:val="28"/>
                <w:szCs w:val="28"/>
              </w:rPr>
            </w:pPr>
            <w:r>
              <w:rPr>
                <w:b/>
                <w:bCs/>
                <w:color w:val="auto"/>
                <w:kern w:val="0"/>
                <w:sz w:val="28"/>
                <w:szCs w:val="28"/>
              </w:rPr>
              <w:t>1.3.3评价结果</w:t>
            </w:r>
          </w:p>
          <w:p>
            <w:pPr>
              <w:adjustRightInd w:val="0"/>
              <w:snapToGrid w:val="0"/>
              <w:spacing w:line="520" w:lineRule="exact"/>
              <w:ind w:firstLine="560" w:firstLineChars="200"/>
              <w:rPr>
                <w:color w:val="auto"/>
                <w:kern w:val="0"/>
                <w:sz w:val="28"/>
                <w:szCs w:val="28"/>
              </w:rPr>
            </w:pPr>
            <w:r>
              <w:rPr>
                <w:color w:val="auto"/>
                <w:kern w:val="0"/>
                <w:sz w:val="28"/>
                <w:szCs w:val="28"/>
              </w:rPr>
              <w:t>评价结果见下表。</w:t>
            </w:r>
          </w:p>
          <w:p>
            <w:pPr>
              <w:adjustRightInd w:val="0"/>
              <w:snapToGrid w:val="0"/>
              <w:ind w:firstLine="480" w:firstLineChars="200"/>
              <w:rPr>
                <w:color w:val="auto"/>
                <w:kern w:val="0"/>
                <w:sz w:val="28"/>
                <w:szCs w:val="28"/>
              </w:rPr>
            </w:pPr>
            <w:r>
              <w:rPr>
                <w:rFonts w:eastAsia="黑体"/>
                <w:color w:val="auto"/>
                <w:kern w:val="0"/>
                <w:sz w:val="24"/>
              </w:rPr>
              <w:t>表</w:t>
            </w:r>
            <w:r>
              <w:rPr>
                <w:rFonts w:hint="eastAsia" w:eastAsia="黑体"/>
                <w:color w:val="auto"/>
                <w:kern w:val="0"/>
                <w:sz w:val="24"/>
              </w:rPr>
              <w:t>8</w:t>
            </w:r>
            <w:r>
              <w:rPr>
                <w:rFonts w:eastAsia="黑体"/>
                <w:color w:val="auto"/>
                <w:kern w:val="0"/>
                <w:sz w:val="24"/>
              </w:rPr>
              <w:t xml:space="preserve">                    现状监测结果分析表</w:t>
            </w:r>
          </w:p>
          <w:tbl>
            <w:tblPr>
              <w:tblStyle w:val="18"/>
              <w:tblW w:w="4998"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40"/>
              <w:gridCol w:w="1760"/>
              <w:gridCol w:w="1195"/>
              <w:gridCol w:w="1114"/>
              <w:gridCol w:w="1116"/>
              <w:gridCol w:w="153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监测项目</w:t>
                  </w:r>
                </w:p>
              </w:tc>
              <w:tc>
                <w:tcPr>
                  <w:tcW w:w="1760" w:type="dxa"/>
                  <w:vAlign w:val="center"/>
                </w:tcPr>
                <w:p>
                  <w:pPr>
                    <w:widowControl/>
                    <w:jc w:val="center"/>
                    <w:rPr>
                      <w:color w:val="auto"/>
                      <w:kern w:val="0"/>
                      <w:szCs w:val="21"/>
                    </w:rPr>
                  </w:pPr>
                  <w:r>
                    <w:rPr>
                      <w:color w:val="auto"/>
                      <w:kern w:val="0"/>
                      <w:szCs w:val="21"/>
                    </w:rPr>
                    <w:t>年平均浓度</w:t>
                  </w:r>
                </w:p>
                <w:p>
                  <w:pPr>
                    <w:widowControl/>
                    <w:jc w:val="center"/>
                    <w:rPr>
                      <w:color w:val="auto"/>
                      <w:kern w:val="0"/>
                      <w:szCs w:val="21"/>
                    </w:rPr>
                  </w:pPr>
                  <w:r>
                    <w:rPr>
                      <w:color w:val="auto"/>
                      <w:kern w:val="0"/>
                      <w:szCs w:val="21"/>
                    </w:rPr>
                    <w:t>（mg/m</w:t>
                  </w:r>
                  <w:r>
                    <w:rPr>
                      <w:color w:val="auto"/>
                      <w:kern w:val="0"/>
                      <w:szCs w:val="21"/>
                      <w:vertAlign w:val="superscript"/>
                    </w:rPr>
                    <w:t>3</w:t>
                  </w:r>
                  <w:r>
                    <w:rPr>
                      <w:color w:val="auto"/>
                      <w:kern w:val="0"/>
                      <w:szCs w:val="21"/>
                    </w:rPr>
                    <w:t>）</w:t>
                  </w:r>
                </w:p>
              </w:tc>
              <w:tc>
                <w:tcPr>
                  <w:tcW w:w="1195" w:type="dxa"/>
                  <w:vAlign w:val="center"/>
                </w:tcPr>
                <w:p>
                  <w:pPr>
                    <w:widowControl/>
                    <w:jc w:val="center"/>
                    <w:rPr>
                      <w:color w:val="auto"/>
                      <w:kern w:val="0"/>
                      <w:szCs w:val="21"/>
                    </w:rPr>
                  </w:pPr>
                  <w:r>
                    <w:rPr>
                      <w:color w:val="auto"/>
                      <w:kern w:val="0"/>
                      <w:szCs w:val="21"/>
                    </w:rPr>
                    <w:t>标准值</w:t>
                  </w:r>
                </w:p>
                <w:p>
                  <w:pPr>
                    <w:widowControl/>
                    <w:jc w:val="center"/>
                    <w:rPr>
                      <w:color w:val="auto"/>
                      <w:kern w:val="0"/>
                      <w:szCs w:val="21"/>
                    </w:rPr>
                  </w:pPr>
                  <w:r>
                    <w:rPr>
                      <w:color w:val="auto"/>
                      <w:kern w:val="0"/>
                      <w:szCs w:val="21"/>
                    </w:rPr>
                    <w:t>（mg/m</w:t>
                  </w:r>
                  <w:r>
                    <w:rPr>
                      <w:color w:val="auto"/>
                      <w:kern w:val="0"/>
                      <w:szCs w:val="21"/>
                      <w:vertAlign w:val="superscript"/>
                    </w:rPr>
                    <w:t>3</w:t>
                  </w:r>
                  <w:r>
                    <w:rPr>
                      <w:color w:val="auto"/>
                      <w:kern w:val="0"/>
                      <w:szCs w:val="21"/>
                    </w:rPr>
                    <w:t>）</w:t>
                  </w:r>
                </w:p>
              </w:tc>
              <w:tc>
                <w:tcPr>
                  <w:tcW w:w="1114" w:type="dxa"/>
                  <w:vAlign w:val="center"/>
                </w:tcPr>
                <w:p>
                  <w:pPr>
                    <w:widowControl/>
                    <w:jc w:val="center"/>
                    <w:rPr>
                      <w:color w:val="auto"/>
                      <w:kern w:val="0"/>
                      <w:szCs w:val="21"/>
                    </w:rPr>
                  </w:pPr>
                  <w:r>
                    <w:rPr>
                      <w:color w:val="auto"/>
                      <w:kern w:val="0"/>
                      <w:szCs w:val="21"/>
                    </w:rPr>
                    <w:t>占标率%</w:t>
                  </w:r>
                </w:p>
              </w:tc>
              <w:tc>
                <w:tcPr>
                  <w:tcW w:w="1116" w:type="dxa"/>
                  <w:vAlign w:val="center"/>
                </w:tcPr>
                <w:p>
                  <w:pPr>
                    <w:widowControl/>
                    <w:jc w:val="center"/>
                    <w:rPr>
                      <w:color w:val="auto"/>
                      <w:kern w:val="0"/>
                      <w:szCs w:val="21"/>
                    </w:rPr>
                  </w:pPr>
                  <w:r>
                    <w:rPr>
                      <w:color w:val="auto"/>
                      <w:kern w:val="0"/>
                      <w:szCs w:val="21"/>
                    </w:rPr>
                    <w:t>超标倍数</w:t>
                  </w:r>
                </w:p>
              </w:tc>
              <w:tc>
                <w:tcPr>
                  <w:tcW w:w="1532" w:type="dxa"/>
                  <w:vAlign w:val="center"/>
                </w:tcPr>
                <w:p>
                  <w:pPr>
                    <w:widowControl/>
                    <w:jc w:val="center"/>
                    <w:rPr>
                      <w:color w:val="auto"/>
                      <w:kern w:val="0"/>
                      <w:szCs w:val="21"/>
                    </w:rPr>
                  </w:pPr>
                  <w:r>
                    <w:rPr>
                      <w:color w:val="auto"/>
                      <w:kern w:val="0"/>
                      <w:szCs w:val="21"/>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SO</w:t>
                  </w:r>
                  <w:r>
                    <w:rPr>
                      <w:color w:val="auto"/>
                      <w:kern w:val="0"/>
                      <w:szCs w:val="21"/>
                      <w:vertAlign w:val="subscript"/>
                    </w:rPr>
                    <w:t>2</w:t>
                  </w:r>
                </w:p>
              </w:tc>
              <w:tc>
                <w:tcPr>
                  <w:tcW w:w="1760" w:type="dxa"/>
                  <w:vAlign w:val="center"/>
                </w:tcPr>
                <w:p>
                  <w:pPr>
                    <w:widowControl/>
                    <w:jc w:val="center"/>
                    <w:rPr>
                      <w:color w:val="auto"/>
                      <w:kern w:val="0"/>
                      <w:szCs w:val="21"/>
                    </w:rPr>
                  </w:pPr>
                  <w:r>
                    <w:rPr>
                      <w:color w:val="auto"/>
                      <w:kern w:val="0"/>
                      <w:szCs w:val="21"/>
                    </w:rPr>
                    <w:t>0.015</w:t>
                  </w:r>
                </w:p>
              </w:tc>
              <w:tc>
                <w:tcPr>
                  <w:tcW w:w="1195" w:type="dxa"/>
                  <w:vAlign w:val="center"/>
                </w:tcPr>
                <w:p>
                  <w:pPr>
                    <w:widowControl/>
                    <w:jc w:val="center"/>
                    <w:rPr>
                      <w:color w:val="auto"/>
                      <w:kern w:val="0"/>
                      <w:szCs w:val="21"/>
                    </w:rPr>
                  </w:pPr>
                  <w:r>
                    <w:rPr>
                      <w:color w:val="auto"/>
                      <w:kern w:val="0"/>
                      <w:szCs w:val="21"/>
                    </w:rPr>
                    <w:t>0.06</w:t>
                  </w:r>
                </w:p>
              </w:tc>
              <w:tc>
                <w:tcPr>
                  <w:tcW w:w="1114" w:type="dxa"/>
                  <w:vAlign w:val="center"/>
                </w:tcPr>
                <w:p>
                  <w:pPr>
                    <w:widowControl/>
                    <w:jc w:val="center"/>
                    <w:rPr>
                      <w:color w:val="auto"/>
                      <w:kern w:val="0"/>
                      <w:szCs w:val="21"/>
                    </w:rPr>
                  </w:pPr>
                  <w:r>
                    <w:rPr>
                      <w:color w:val="auto"/>
                      <w:kern w:val="0"/>
                      <w:szCs w:val="21"/>
                    </w:rPr>
                    <w:t>24</w:t>
                  </w:r>
                </w:p>
              </w:tc>
              <w:tc>
                <w:tcPr>
                  <w:tcW w:w="1116" w:type="dxa"/>
                  <w:vAlign w:val="center"/>
                </w:tcPr>
                <w:p>
                  <w:pPr>
                    <w:widowControl/>
                    <w:jc w:val="center"/>
                    <w:rPr>
                      <w:color w:val="auto"/>
                      <w:kern w:val="0"/>
                      <w:szCs w:val="21"/>
                    </w:rPr>
                  </w:pPr>
                  <w:r>
                    <w:rPr>
                      <w:color w:val="auto"/>
                      <w:kern w:val="0"/>
                      <w:szCs w:val="21"/>
                    </w:rPr>
                    <w:t>0</w:t>
                  </w:r>
                </w:p>
              </w:tc>
              <w:tc>
                <w:tcPr>
                  <w:tcW w:w="1532" w:type="dxa"/>
                  <w:vAlign w:val="center"/>
                </w:tcPr>
                <w:p>
                  <w:pPr>
                    <w:widowControl/>
                    <w:jc w:val="center"/>
                    <w:rPr>
                      <w:color w:val="auto"/>
                      <w:kern w:val="0"/>
                      <w:szCs w:val="21"/>
                    </w:rPr>
                  </w:pPr>
                  <w:r>
                    <w:rPr>
                      <w:color w:val="auto"/>
                      <w:kern w:val="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NO</w:t>
                  </w:r>
                  <w:r>
                    <w:rPr>
                      <w:color w:val="auto"/>
                      <w:kern w:val="0"/>
                      <w:szCs w:val="21"/>
                      <w:vertAlign w:val="subscript"/>
                    </w:rPr>
                    <w:t>2</w:t>
                  </w:r>
                </w:p>
              </w:tc>
              <w:tc>
                <w:tcPr>
                  <w:tcW w:w="1760" w:type="dxa"/>
                  <w:vAlign w:val="center"/>
                </w:tcPr>
                <w:p>
                  <w:pPr>
                    <w:widowControl/>
                    <w:jc w:val="center"/>
                    <w:rPr>
                      <w:color w:val="auto"/>
                      <w:kern w:val="0"/>
                      <w:szCs w:val="21"/>
                    </w:rPr>
                  </w:pPr>
                  <w:r>
                    <w:rPr>
                      <w:color w:val="auto"/>
                      <w:kern w:val="0"/>
                      <w:szCs w:val="21"/>
                    </w:rPr>
                    <w:t>0.031</w:t>
                  </w:r>
                </w:p>
              </w:tc>
              <w:tc>
                <w:tcPr>
                  <w:tcW w:w="1195" w:type="dxa"/>
                  <w:vAlign w:val="center"/>
                </w:tcPr>
                <w:p>
                  <w:pPr>
                    <w:widowControl/>
                    <w:jc w:val="center"/>
                    <w:rPr>
                      <w:color w:val="auto"/>
                      <w:kern w:val="0"/>
                      <w:szCs w:val="21"/>
                    </w:rPr>
                  </w:pPr>
                  <w:r>
                    <w:rPr>
                      <w:color w:val="auto"/>
                      <w:kern w:val="0"/>
                      <w:szCs w:val="21"/>
                    </w:rPr>
                    <w:t>0.04</w:t>
                  </w:r>
                </w:p>
              </w:tc>
              <w:tc>
                <w:tcPr>
                  <w:tcW w:w="1114" w:type="dxa"/>
                  <w:vAlign w:val="center"/>
                </w:tcPr>
                <w:p>
                  <w:pPr>
                    <w:widowControl/>
                    <w:jc w:val="center"/>
                    <w:rPr>
                      <w:color w:val="auto"/>
                      <w:kern w:val="0"/>
                      <w:szCs w:val="21"/>
                    </w:rPr>
                  </w:pPr>
                  <w:r>
                    <w:rPr>
                      <w:color w:val="auto"/>
                      <w:kern w:val="0"/>
                      <w:szCs w:val="21"/>
                    </w:rPr>
                    <w:t>77</w:t>
                  </w:r>
                </w:p>
              </w:tc>
              <w:tc>
                <w:tcPr>
                  <w:tcW w:w="1116" w:type="dxa"/>
                  <w:vAlign w:val="center"/>
                </w:tcPr>
                <w:p>
                  <w:pPr>
                    <w:widowControl/>
                    <w:jc w:val="center"/>
                    <w:rPr>
                      <w:color w:val="auto"/>
                      <w:kern w:val="0"/>
                      <w:szCs w:val="21"/>
                    </w:rPr>
                  </w:pPr>
                  <w:r>
                    <w:rPr>
                      <w:color w:val="auto"/>
                      <w:kern w:val="0"/>
                      <w:szCs w:val="21"/>
                    </w:rPr>
                    <w:t>0</w:t>
                  </w:r>
                </w:p>
              </w:tc>
              <w:tc>
                <w:tcPr>
                  <w:tcW w:w="1532" w:type="dxa"/>
                  <w:vAlign w:val="center"/>
                </w:tcPr>
                <w:p>
                  <w:pPr>
                    <w:widowControl/>
                    <w:jc w:val="center"/>
                    <w:rPr>
                      <w:color w:val="auto"/>
                      <w:kern w:val="0"/>
                      <w:szCs w:val="21"/>
                    </w:rPr>
                  </w:pPr>
                  <w:r>
                    <w:rPr>
                      <w:color w:val="auto"/>
                      <w:kern w:val="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szCs w:val="21"/>
                    </w:rPr>
                    <w:t>PM</w:t>
                  </w:r>
                  <w:r>
                    <w:rPr>
                      <w:color w:val="auto"/>
                      <w:szCs w:val="21"/>
                      <w:vertAlign w:val="subscript"/>
                    </w:rPr>
                    <w:t>2.5</w:t>
                  </w:r>
                </w:p>
              </w:tc>
              <w:tc>
                <w:tcPr>
                  <w:tcW w:w="1760" w:type="dxa"/>
                  <w:vAlign w:val="center"/>
                </w:tcPr>
                <w:p>
                  <w:pPr>
                    <w:widowControl/>
                    <w:jc w:val="center"/>
                    <w:rPr>
                      <w:color w:val="auto"/>
                      <w:kern w:val="0"/>
                      <w:szCs w:val="21"/>
                    </w:rPr>
                  </w:pPr>
                  <w:r>
                    <w:rPr>
                      <w:color w:val="auto"/>
                      <w:kern w:val="0"/>
                      <w:szCs w:val="21"/>
                    </w:rPr>
                    <w:t>0.046</w:t>
                  </w:r>
                </w:p>
              </w:tc>
              <w:tc>
                <w:tcPr>
                  <w:tcW w:w="1195" w:type="dxa"/>
                  <w:vAlign w:val="center"/>
                </w:tcPr>
                <w:p>
                  <w:pPr>
                    <w:widowControl/>
                    <w:jc w:val="center"/>
                    <w:rPr>
                      <w:color w:val="auto"/>
                      <w:kern w:val="0"/>
                      <w:szCs w:val="21"/>
                    </w:rPr>
                  </w:pPr>
                  <w:r>
                    <w:rPr>
                      <w:color w:val="auto"/>
                      <w:kern w:val="0"/>
                      <w:szCs w:val="21"/>
                    </w:rPr>
                    <w:t>0.035</w:t>
                  </w:r>
                </w:p>
              </w:tc>
              <w:tc>
                <w:tcPr>
                  <w:tcW w:w="1114" w:type="dxa"/>
                  <w:vAlign w:val="center"/>
                </w:tcPr>
                <w:p>
                  <w:pPr>
                    <w:widowControl/>
                    <w:jc w:val="center"/>
                    <w:rPr>
                      <w:color w:val="auto"/>
                      <w:kern w:val="0"/>
                      <w:szCs w:val="21"/>
                    </w:rPr>
                  </w:pPr>
                  <w:r>
                    <w:rPr>
                      <w:color w:val="auto"/>
                      <w:kern w:val="0"/>
                      <w:szCs w:val="21"/>
                    </w:rPr>
                    <w:t>131</w:t>
                  </w:r>
                </w:p>
              </w:tc>
              <w:tc>
                <w:tcPr>
                  <w:tcW w:w="1116" w:type="dxa"/>
                  <w:vAlign w:val="center"/>
                </w:tcPr>
                <w:p>
                  <w:pPr>
                    <w:widowControl/>
                    <w:jc w:val="center"/>
                    <w:rPr>
                      <w:color w:val="auto"/>
                      <w:kern w:val="0"/>
                      <w:szCs w:val="21"/>
                    </w:rPr>
                  </w:pPr>
                  <w:r>
                    <w:rPr>
                      <w:color w:val="auto"/>
                      <w:kern w:val="0"/>
                      <w:szCs w:val="21"/>
                    </w:rPr>
                    <w:t>0.31</w:t>
                  </w:r>
                </w:p>
              </w:tc>
              <w:tc>
                <w:tcPr>
                  <w:tcW w:w="1532" w:type="dxa"/>
                  <w:vAlign w:val="center"/>
                </w:tcPr>
                <w:p>
                  <w:pPr>
                    <w:widowControl/>
                    <w:jc w:val="center"/>
                    <w:rPr>
                      <w:color w:val="auto"/>
                      <w:kern w:val="0"/>
                      <w:szCs w:val="21"/>
                    </w:rPr>
                  </w:pPr>
                  <w:r>
                    <w:rPr>
                      <w:color w:val="auto"/>
                      <w:kern w:val="0"/>
                      <w:szCs w:val="21"/>
                    </w:rPr>
                    <w:t>超标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szCs w:val="21"/>
                    </w:rPr>
                  </w:pPr>
                  <w:r>
                    <w:rPr>
                      <w:color w:val="auto"/>
                      <w:kern w:val="0"/>
                      <w:szCs w:val="21"/>
                    </w:rPr>
                    <w:t>PM</w:t>
                  </w:r>
                  <w:r>
                    <w:rPr>
                      <w:color w:val="auto"/>
                      <w:kern w:val="0"/>
                      <w:szCs w:val="21"/>
                      <w:vertAlign w:val="subscript"/>
                    </w:rPr>
                    <w:t>10</w:t>
                  </w:r>
                </w:p>
              </w:tc>
              <w:tc>
                <w:tcPr>
                  <w:tcW w:w="1760" w:type="dxa"/>
                  <w:vAlign w:val="center"/>
                </w:tcPr>
                <w:p>
                  <w:pPr>
                    <w:widowControl/>
                    <w:jc w:val="center"/>
                    <w:rPr>
                      <w:color w:val="auto"/>
                      <w:kern w:val="0"/>
                      <w:szCs w:val="21"/>
                    </w:rPr>
                  </w:pPr>
                  <w:r>
                    <w:rPr>
                      <w:color w:val="auto"/>
                      <w:kern w:val="0"/>
                      <w:szCs w:val="21"/>
                    </w:rPr>
                    <w:t>0.074</w:t>
                  </w:r>
                </w:p>
              </w:tc>
              <w:tc>
                <w:tcPr>
                  <w:tcW w:w="1195" w:type="dxa"/>
                  <w:vAlign w:val="center"/>
                </w:tcPr>
                <w:p>
                  <w:pPr>
                    <w:widowControl/>
                    <w:jc w:val="center"/>
                    <w:rPr>
                      <w:color w:val="auto"/>
                      <w:kern w:val="0"/>
                      <w:szCs w:val="21"/>
                    </w:rPr>
                  </w:pPr>
                  <w:r>
                    <w:rPr>
                      <w:color w:val="auto"/>
                      <w:kern w:val="0"/>
                      <w:szCs w:val="21"/>
                    </w:rPr>
                    <w:t>0.07</w:t>
                  </w:r>
                </w:p>
              </w:tc>
              <w:tc>
                <w:tcPr>
                  <w:tcW w:w="1114" w:type="dxa"/>
                  <w:vAlign w:val="center"/>
                </w:tcPr>
                <w:p>
                  <w:pPr>
                    <w:widowControl/>
                    <w:jc w:val="center"/>
                    <w:rPr>
                      <w:color w:val="auto"/>
                      <w:kern w:val="0"/>
                      <w:szCs w:val="21"/>
                    </w:rPr>
                  </w:pPr>
                  <w:r>
                    <w:rPr>
                      <w:color w:val="auto"/>
                      <w:kern w:val="0"/>
                      <w:szCs w:val="21"/>
                    </w:rPr>
                    <w:t>106</w:t>
                  </w:r>
                </w:p>
              </w:tc>
              <w:tc>
                <w:tcPr>
                  <w:tcW w:w="1116" w:type="dxa"/>
                  <w:vAlign w:val="center"/>
                </w:tcPr>
                <w:p>
                  <w:pPr>
                    <w:widowControl/>
                    <w:jc w:val="center"/>
                    <w:rPr>
                      <w:color w:val="auto"/>
                      <w:kern w:val="0"/>
                      <w:szCs w:val="21"/>
                    </w:rPr>
                  </w:pPr>
                  <w:r>
                    <w:rPr>
                      <w:color w:val="auto"/>
                      <w:kern w:val="0"/>
                      <w:szCs w:val="21"/>
                    </w:rPr>
                    <w:t>0.06</w:t>
                  </w:r>
                </w:p>
              </w:tc>
              <w:tc>
                <w:tcPr>
                  <w:tcW w:w="1532" w:type="dxa"/>
                  <w:vAlign w:val="center"/>
                </w:tcPr>
                <w:p>
                  <w:pPr>
                    <w:widowControl/>
                    <w:jc w:val="center"/>
                    <w:rPr>
                      <w:color w:val="auto"/>
                      <w:kern w:val="0"/>
                      <w:szCs w:val="21"/>
                    </w:rPr>
                  </w:pPr>
                  <w:r>
                    <w:rPr>
                      <w:color w:val="auto"/>
                      <w:kern w:val="0"/>
                      <w:szCs w:val="21"/>
                    </w:rPr>
                    <w:t>超标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监测项目</w:t>
                  </w:r>
                </w:p>
              </w:tc>
              <w:tc>
                <w:tcPr>
                  <w:tcW w:w="1760" w:type="dxa"/>
                  <w:vAlign w:val="center"/>
                </w:tcPr>
                <w:p>
                  <w:pPr>
                    <w:widowControl/>
                    <w:jc w:val="center"/>
                    <w:rPr>
                      <w:color w:val="auto"/>
                      <w:kern w:val="0"/>
                      <w:szCs w:val="21"/>
                    </w:rPr>
                  </w:pPr>
                  <w:r>
                    <w:rPr>
                      <w:color w:val="auto"/>
                      <w:kern w:val="0"/>
                      <w:szCs w:val="21"/>
                    </w:rPr>
                    <w:t>24h平均浓度</w:t>
                  </w:r>
                </w:p>
                <w:p>
                  <w:pPr>
                    <w:widowControl/>
                    <w:jc w:val="center"/>
                    <w:rPr>
                      <w:color w:val="auto"/>
                      <w:kern w:val="0"/>
                      <w:szCs w:val="21"/>
                    </w:rPr>
                  </w:pPr>
                  <w:r>
                    <w:rPr>
                      <w:color w:val="auto"/>
                      <w:kern w:val="0"/>
                      <w:szCs w:val="21"/>
                    </w:rPr>
                    <w:t>（mg/m</w:t>
                  </w:r>
                  <w:r>
                    <w:rPr>
                      <w:color w:val="auto"/>
                      <w:kern w:val="0"/>
                      <w:szCs w:val="21"/>
                      <w:vertAlign w:val="superscript"/>
                    </w:rPr>
                    <w:t>3</w:t>
                  </w:r>
                  <w:r>
                    <w:rPr>
                      <w:color w:val="auto"/>
                      <w:kern w:val="0"/>
                      <w:szCs w:val="21"/>
                    </w:rPr>
                    <w:t>）</w:t>
                  </w:r>
                </w:p>
              </w:tc>
              <w:tc>
                <w:tcPr>
                  <w:tcW w:w="1195" w:type="dxa"/>
                  <w:vAlign w:val="center"/>
                </w:tcPr>
                <w:p>
                  <w:pPr>
                    <w:widowControl/>
                    <w:jc w:val="center"/>
                    <w:rPr>
                      <w:color w:val="auto"/>
                      <w:kern w:val="0"/>
                      <w:szCs w:val="21"/>
                    </w:rPr>
                  </w:pPr>
                  <w:r>
                    <w:rPr>
                      <w:color w:val="auto"/>
                      <w:kern w:val="0"/>
                      <w:szCs w:val="21"/>
                    </w:rPr>
                    <w:t>标准值</w:t>
                  </w:r>
                </w:p>
                <w:p>
                  <w:pPr>
                    <w:widowControl/>
                    <w:jc w:val="center"/>
                    <w:rPr>
                      <w:color w:val="auto"/>
                      <w:kern w:val="0"/>
                      <w:szCs w:val="21"/>
                    </w:rPr>
                  </w:pPr>
                  <w:r>
                    <w:rPr>
                      <w:color w:val="auto"/>
                      <w:kern w:val="0"/>
                      <w:szCs w:val="21"/>
                    </w:rPr>
                    <w:t>（mg/m</w:t>
                  </w:r>
                  <w:r>
                    <w:rPr>
                      <w:color w:val="auto"/>
                      <w:kern w:val="0"/>
                      <w:szCs w:val="21"/>
                      <w:vertAlign w:val="superscript"/>
                    </w:rPr>
                    <w:t>3</w:t>
                  </w:r>
                  <w:r>
                    <w:rPr>
                      <w:color w:val="auto"/>
                      <w:kern w:val="0"/>
                      <w:szCs w:val="21"/>
                    </w:rPr>
                    <w:t>）</w:t>
                  </w:r>
                </w:p>
              </w:tc>
              <w:tc>
                <w:tcPr>
                  <w:tcW w:w="1114" w:type="dxa"/>
                  <w:vAlign w:val="center"/>
                </w:tcPr>
                <w:p>
                  <w:pPr>
                    <w:widowControl/>
                    <w:jc w:val="center"/>
                    <w:rPr>
                      <w:color w:val="auto"/>
                      <w:kern w:val="0"/>
                      <w:szCs w:val="21"/>
                    </w:rPr>
                  </w:pPr>
                  <w:r>
                    <w:rPr>
                      <w:color w:val="auto"/>
                      <w:kern w:val="0"/>
                      <w:szCs w:val="21"/>
                    </w:rPr>
                    <w:t>占标率%</w:t>
                  </w:r>
                </w:p>
              </w:tc>
              <w:tc>
                <w:tcPr>
                  <w:tcW w:w="1116" w:type="dxa"/>
                  <w:vAlign w:val="center"/>
                </w:tcPr>
                <w:p>
                  <w:pPr>
                    <w:widowControl/>
                    <w:jc w:val="center"/>
                    <w:rPr>
                      <w:color w:val="auto"/>
                      <w:kern w:val="0"/>
                      <w:szCs w:val="21"/>
                    </w:rPr>
                  </w:pPr>
                  <w:r>
                    <w:rPr>
                      <w:color w:val="auto"/>
                      <w:kern w:val="0"/>
                      <w:szCs w:val="21"/>
                    </w:rPr>
                    <w:t>超标倍数</w:t>
                  </w:r>
                </w:p>
              </w:tc>
              <w:tc>
                <w:tcPr>
                  <w:tcW w:w="1532" w:type="dxa"/>
                  <w:vAlign w:val="center"/>
                </w:tcPr>
                <w:p>
                  <w:pPr>
                    <w:widowControl/>
                    <w:jc w:val="center"/>
                    <w:rPr>
                      <w:color w:val="auto"/>
                      <w:kern w:val="0"/>
                      <w:szCs w:val="21"/>
                    </w:rPr>
                  </w:pPr>
                  <w:r>
                    <w:rPr>
                      <w:color w:val="auto"/>
                      <w:kern w:val="0"/>
                      <w:szCs w:val="21"/>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CO</w:t>
                  </w:r>
                </w:p>
              </w:tc>
              <w:tc>
                <w:tcPr>
                  <w:tcW w:w="1760" w:type="dxa"/>
                  <w:vAlign w:val="center"/>
                </w:tcPr>
                <w:p>
                  <w:pPr>
                    <w:widowControl/>
                    <w:jc w:val="center"/>
                    <w:rPr>
                      <w:color w:val="auto"/>
                      <w:kern w:val="0"/>
                      <w:szCs w:val="21"/>
                    </w:rPr>
                  </w:pPr>
                  <w:r>
                    <w:rPr>
                      <w:color w:val="auto"/>
                      <w:kern w:val="0"/>
                      <w:szCs w:val="21"/>
                    </w:rPr>
                    <w:t>1.47</w:t>
                  </w:r>
                </w:p>
              </w:tc>
              <w:tc>
                <w:tcPr>
                  <w:tcW w:w="1195" w:type="dxa"/>
                  <w:vAlign w:val="center"/>
                </w:tcPr>
                <w:p>
                  <w:pPr>
                    <w:widowControl/>
                    <w:jc w:val="center"/>
                    <w:rPr>
                      <w:color w:val="auto"/>
                      <w:kern w:val="0"/>
                      <w:szCs w:val="21"/>
                    </w:rPr>
                  </w:pPr>
                  <w:r>
                    <w:rPr>
                      <w:color w:val="auto"/>
                      <w:kern w:val="0"/>
                      <w:szCs w:val="21"/>
                    </w:rPr>
                    <w:t>4</w:t>
                  </w:r>
                </w:p>
              </w:tc>
              <w:tc>
                <w:tcPr>
                  <w:tcW w:w="1114" w:type="dxa"/>
                  <w:vAlign w:val="center"/>
                </w:tcPr>
                <w:p>
                  <w:pPr>
                    <w:widowControl/>
                    <w:jc w:val="center"/>
                    <w:rPr>
                      <w:color w:val="auto"/>
                      <w:kern w:val="0"/>
                      <w:szCs w:val="21"/>
                    </w:rPr>
                  </w:pPr>
                  <w:r>
                    <w:rPr>
                      <w:color w:val="auto"/>
                      <w:kern w:val="0"/>
                      <w:szCs w:val="21"/>
                    </w:rPr>
                    <w:t>37</w:t>
                  </w:r>
                </w:p>
              </w:tc>
              <w:tc>
                <w:tcPr>
                  <w:tcW w:w="1116" w:type="dxa"/>
                  <w:vAlign w:val="center"/>
                </w:tcPr>
                <w:p>
                  <w:pPr>
                    <w:widowControl/>
                    <w:jc w:val="center"/>
                    <w:rPr>
                      <w:color w:val="auto"/>
                      <w:kern w:val="0"/>
                      <w:szCs w:val="21"/>
                    </w:rPr>
                  </w:pPr>
                  <w:r>
                    <w:rPr>
                      <w:color w:val="auto"/>
                      <w:kern w:val="0"/>
                      <w:szCs w:val="21"/>
                    </w:rPr>
                    <w:t>0</w:t>
                  </w:r>
                </w:p>
              </w:tc>
              <w:tc>
                <w:tcPr>
                  <w:tcW w:w="1532" w:type="dxa"/>
                  <w:vAlign w:val="center"/>
                </w:tcPr>
                <w:p>
                  <w:pPr>
                    <w:widowControl/>
                    <w:jc w:val="center"/>
                    <w:rPr>
                      <w:color w:val="auto"/>
                      <w:kern w:val="0"/>
                      <w:szCs w:val="21"/>
                    </w:rPr>
                  </w:pPr>
                  <w:r>
                    <w:rPr>
                      <w:color w:val="auto"/>
                      <w:kern w:val="0"/>
                      <w:szCs w:val="21"/>
                    </w:rPr>
                    <w:t>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监测项目</w:t>
                  </w:r>
                </w:p>
              </w:tc>
              <w:tc>
                <w:tcPr>
                  <w:tcW w:w="1760" w:type="dxa"/>
                  <w:vAlign w:val="center"/>
                </w:tcPr>
                <w:p>
                  <w:pPr>
                    <w:widowControl/>
                    <w:jc w:val="center"/>
                    <w:rPr>
                      <w:color w:val="auto"/>
                      <w:kern w:val="0"/>
                      <w:szCs w:val="21"/>
                    </w:rPr>
                  </w:pPr>
                  <w:r>
                    <w:rPr>
                      <w:color w:val="auto"/>
                      <w:kern w:val="0"/>
                      <w:szCs w:val="21"/>
                    </w:rPr>
                    <w:t>日最大8h平均浓度（mg/m</w:t>
                  </w:r>
                  <w:r>
                    <w:rPr>
                      <w:color w:val="auto"/>
                      <w:kern w:val="0"/>
                      <w:szCs w:val="21"/>
                      <w:vertAlign w:val="superscript"/>
                    </w:rPr>
                    <w:t>3</w:t>
                  </w:r>
                  <w:r>
                    <w:rPr>
                      <w:color w:val="auto"/>
                      <w:kern w:val="0"/>
                      <w:szCs w:val="21"/>
                    </w:rPr>
                    <w:t>）</w:t>
                  </w:r>
                </w:p>
              </w:tc>
              <w:tc>
                <w:tcPr>
                  <w:tcW w:w="1195" w:type="dxa"/>
                  <w:vAlign w:val="center"/>
                </w:tcPr>
                <w:p>
                  <w:pPr>
                    <w:widowControl/>
                    <w:jc w:val="center"/>
                    <w:rPr>
                      <w:color w:val="auto"/>
                      <w:kern w:val="0"/>
                      <w:szCs w:val="21"/>
                    </w:rPr>
                  </w:pPr>
                  <w:r>
                    <w:rPr>
                      <w:color w:val="auto"/>
                      <w:kern w:val="0"/>
                      <w:szCs w:val="21"/>
                    </w:rPr>
                    <w:t>标准值（mg/m</w:t>
                  </w:r>
                  <w:r>
                    <w:rPr>
                      <w:color w:val="auto"/>
                      <w:kern w:val="0"/>
                      <w:szCs w:val="21"/>
                      <w:vertAlign w:val="superscript"/>
                    </w:rPr>
                    <w:t>3</w:t>
                  </w:r>
                  <w:r>
                    <w:rPr>
                      <w:color w:val="auto"/>
                      <w:kern w:val="0"/>
                      <w:szCs w:val="21"/>
                    </w:rPr>
                    <w:t>）</w:t>
                  </w:r>
                </w:p>
              </w:tc>
              <w:tc>
                <w:tcPr>
                  <w:tcW w:w="1114" w:type="dxa"/>
                  <w:vAlign w:val="center"/>
                </w:tcPr>
                <w:p>
                  <w:pPr>
                    <w:widowControl/>
                    <w:jc w:val="center"/>
                    <w:rPr>
                      <w:color w:val="auto"/>
                      <w:kern w:val="0"/>
                      <w:szCs w:val="21"/>
                    </w:rPr>
                  </w:pPr>
                  <w:r>
                    <w:rPr>
                      <w:color w:val="auto"/>
                      <w:kern w:val="0"/>
                      <w:szCs w:val="21"/>
                    </w:rPr>
                    <w:t>占标率%</w:t>
                  </w:r>
                </w:p>
              </w:tc>
              <w:tc>
                <w:tcPr>
                  <w:tcW w:w="1116" w:type="dxa"/>
                  <w:vAlign w:val="center"/>
                </w:tcPr>
                <w:p>
                  <w:pPr>
                    <w:widowControl/>
                    <w:jc w:val="center"/>
                    <w:rPr>
                      <w:color w:val="auto"/>
                      <w:kern w:val="0"/>
                      <w:szCs w:val="21"/>
                    </w:rPr>
                  </w:pPr>
                  <w:r>
                    <w:rPr>
                      <w:color w:val="auto"/>
                      <w:kern w:val="0"/>
                      <w:szCs w:val="21"/>
                    </w:rPr>
                    <w:t>超标倍数</w:t>
                  </w:r>
                </w:p>
              </w:tc>
              <w:tc>
                <w:tcPr>
                  <w:tcW w:w="1532" w:type="dxa"/>
                  <w:vAlign w:val="center"/>
                </w:tcPr>
                <w:p>
                  <w:pPr>
                    <w:widowControl/>
                    <w:jc w:val="center"/>
                    <w:rPr>
                      <w:color w:val="auto"/>
                      <w:kern w:val="0"/>
                      <w:szCs w:val="21"/>
                    </w:rPr>
                  </w:pPr>
                  <w:r>
                    <w:rPr>
                      <w:color w:val="auto"/>
                      <w:kern w:val="0"/>
                      <w:szCs w:val="21"/>
                    </w:rPr>
                    <w:t>达标情况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140" w:type="dxa"/>
                  <w:vAlign w:val="center"/>
                </w:tcPr>
                <w:p>
                  <w:pPr>
                    <w:widowControl/>
                    <w:jc w:val="center"/>
                    <w:rPr>
                      <w:color w:val="auto"/>
                      <w:kern w:val="0"/>
                      <w:szCs w:val="21"/>
                    </w:rPr>
                  </w:pPr>
                  <w:r>
                    <w:rPr>
                      <w:color w:val="auto"/>
                      <w:kern w:val="0"/>
                      <w:szCs w:val="21"/>
                    </w:rPr>
                    <w:t>O</w:t>
                  </w:r>
                  <w:r>
                    <w:rPr>
                      <w:color w:val="auto"/>
                      <w:kern w:val="0"/>
                      <w:szCs w:val="21"/>
                      <w:vertAlign w:val="subscript"/>
                    </w:rPr>
                    <w:t>3</w:t>
                  </w:r>
                </w:p>
              </w:tc>
              <w:tc>
                <w:tcPr>
                  <w:tcW w:w="1760" w:type="dxa"/>
                  <w:vAlign w:val="center"/>
                </w:tcPr>
                <w:p>
                  <w:pPr>
                    <w:widowControl/>
                    <w:jc w:val="center"/>
                    <w:rPr>
                      <w:color w:val="auto"/>
                      <w:kern w:val="0"/>
                      <w:szCs w:val="21"/>
                    </w:rPr>
                  </w:pPr>
                  <w:r>
                    <w:rPr>
                      <w:color w:val="auto"/>
                      <w:kern w:val="0"/>
                      <w:szCs w:val="21"/>
                    </w:rPr>
                    <w:t>0.081</w:t>
                  </w:r>
                </w:p>
              </w:tc>
              <w:tc>
                <w:tcPr>
                  <w:tcW w:w="1195" w:type="dxa"/>
                  <w:vAlign w:val="center"/>
                </w:tcPr>
                <w:p>
                  <w:pPr>
                    <w:widowControl/>
                    <w:jc w:val="center"/>
                    <w:rPr>
                      <w:color w:val="auto"/>
                      <w:kern w:val="0"/>
                      <w:szCs w:val="21"/>
                    </w:rPr>
                  </w:pPr>
                  <w:r>
                    <w:rPr>
                      <w:color w:val="auto"/>
                      <w:kern w:val="0"/>
                      <w:szCs w:val="21"/>
                    </w:rPr>
                    <w:t>0.16</w:t>
                  </w:r>
                </w:p>
              </w:tc>
              <w:tc>
                <w:tcPr>
                  <w:tcW w:w="1114" w:type="dxa"/>
                  <w:vAlign w:val="center"/>
                </w:tcPr>
                <w:p>
                  <w:pPr>
                    <w:widowControl/>
                    <w:jc w:val="center"/>
                    <w:rPr>
                      <w:color w:val="auto"/>
                      <w:kern w:val="0"/>
                      <w:szCs w:val="21"/>
                    </w:rPr>
                  </w:pPr>
                  <w:r>
                    <w:rPr>
                      <w:color w:val="auto"/>
                      <w:kern w:val="0"/>
                      <w:szCs w:val="21"/>
                    </w:rPr>
                    <w:t>51</w:t>
                  </w:r>
                </w:p>
              </w:tc>
              <w:tc>
                <w:tcPr>
                  <w:tcW w:w="1116" w:type="dxa"/>
                </w:tcPr>
                <w:p>
                  <w:pPr>
                    <w:widowControl/>
                    <w:jc w:val="center"/>
                    <w:rPr>
                      <w:color w:val="auto"/>
                      <w:kern w:val="0"/>
                      <w:szCs w:val="21"/>
                    </w:rPr>
                  </w:pPr>
                  <w:r>
                    <w:rPr>
                      <w:color w:val="auto"/>
                      <w:kern w:val="0"/>
                      <w:szCs w:val="21"/>
                    </w:rPr>
                    <w:t>0</w:t>
                  </w:r>
                </w:p>
              </w:tc>
              <w:tc>
                <w:tcPr>
                  <w:tcW w:w="1532" w:type="dxa"/>
                  <w:vAlign w:val="center"/>
                </w:tcPr>
                <w:p>
                  <w:pPr>
                    <w:widowControl/>
                    <w:jc w:val="center"/>
                    <w:rPr>
                      <w:color w:val="auto"/>
                      <w:kern w:val="0"/>
                      <w:szCs w:val="21"/>
                    </w:rPr>
                  </w:pPr>
                  <w:r>
                    <w:rPr>
                      <w:color w:val="auto"/>
                      <w:kern w:val="0"/>
                      <w:szCs w:val="21"/>
                    </w:rPr>
                    <w:t>达标</w:t>
                  </w:r>
                </w:p>
              </w:tc>
            </w:tr>
          </w:tbl>
          <w:p>
            <w:pPr>
              <w:adjustRightInd w:val="0"/>
              <w:snapToGrid w:val="0"/>
              <w:spacing w:line="520" w:lineRule="exact"/>
              <w:ind w:firstLine="560" w:firstLineChars="200"/>
              <w:rPr>
                <w:color w:val="auto"/>
                <w:kern w:val="0"/>
                <w:sz w:val="28"/>
                <w:szCs w:val="28"/>
              </w:rPr>
            </w:pPr>
            <w:r>
              <w:rPr>
                <w:color w:val="auto"/>
                <w:kern w:val="0"/>
                <w:sz w:val="28"/>
                <w:szCs w:val="28"/>
              </w:rPr>
              <w:t>从上表的分析结果可知，区域SO</w:t>
            </w:r>
            <w:r>
              <w:rPr>
                <w:color w:val="auto"/>
                <w:kern w:val="0"/>
                <w:sz w:val="28"/>
                <w:szCs w:val="28"/>
                <w:vertAlign w:val="subscript"/>
              </w:rPr>
              <w:t>2</w:t>
            </w:r>
            <w:r>
              <w:rPr>
                <w:color w:val="auto"/>
                <w:kern w:val="0"/>
                <w:sz w:val="28"/>
                <w:szCs w:val="28"/>
              </w:rPr>
              <w:t>、NO</w:t>
            </w:r>
            <w:r>
              <w:rPr>
                <w:color w:val="auto"/>
                <w:kern w:val="0"/>
                <w:sz w:val="28"/>
                <w:szCs w:val="28"/>
                <w:vertAlign w:val="subscript"/>
              </w:rPr>
              <w:t>2</w:t>
            </w:r>
            <w:r>
              <w:rPr>
                <w:color w:val="auto"/>
                <w:kern w:val="0"/>
                <w:sz w:val="28"/>
                <w:szCs w:val="28"/>
              </w:rPr>
              <w:t>年平均、CO第95百分位数日平均及O</w:t>
            </w:r>
            <w:r>
              <w:rPr>
                <w:color w:val="auto"/>
                <w:kern w:val="0"/>
                <w:sz w:val="28"/>
                <w:szCs w:val="28"/>
                <w:vertAlign w:val="subscript"/>
              </w:rPr>
              <w:t>3</w:t>
            </w:r>
            <w:r>
              <w:rPr>
                <w:color w:val="auto"/>
                <w:kern w:val="0"/>
                <w:sz w:val="28"/>
                <w:szCs w:val="28"/>
              </w:rPr>
              <w:t>第90百分位数日平均浓度均满足《环境空气质量标准》（GB3095—2012）的二级标准要求；PM</w:t>
            </w:r>
            <w:r>
              <w:rPr>
                <w:color w:val="auto"/>
                <w:kern w:val="0"/>
                <w:sz w:val="28"/>
                <w:szCs w:val="28"/>
                <w:vertAlign w:val="subscript"/>
              </w:rPr>
              <w:t>2.5</w:t>
            </w:r>
            <w:r>
              <w:rPr>
                <w:color w:val="auto"/>
                <w:kern w:val="0"/>
                <w:sz w:val="28"/>
                <w:szCs w:val="28"/>
              </w:rPr>
              <w:t>、PM</w:t>
            </w:r>
            <w:r>
              <w:rPr>
                <w:color w:val="auto"/>
                <w:kern w:val="0"/>
                <w:sz w:val="28"/>
                <w:szCs w:val="28"/>
                <w:vertAlign w:val="subscript"/>
              </w:rPr>
              <w:t>10</w:t>
            </w:r>
            <w:r>
              <w:rPr>
                <w:color w:val="auto"/>
                <w:kern w:val="0"/>
                <w:sz w:val="28"/>
                <w:szCs w:val="28"/>
              </w:rPr>
              <w:t>的年平均浓度均超过《环境空气质量标准》（GB3095—2012）二级标准要求，区域为非达标区域。</w:t>
            </w:r>
          </w:p>
          <w:p>
            <w:pPr>
              <w:spacing w:line="520" w:lineRule="exact"/>
              <w:rPr>
                <w:b/>
                <w:color w:val="auto"/>
                <w:sz w:val="28"/>
                <w:szCs w:val="28"/>
              </w:rPr>
            </w:pPr>
            <w:r>
              <w:rPr>
                <w:b/>
                <w:color w:val="auto"/>
                <w:sz w:val="28"/>
                <w:szCs w:val="28"/>
              </w:rPr>
              <w:t>2地表水环境质量现状</w:t>
            </w:r>
          </w:p>
          <w:p>
            <w:pPr>
              <w:adjustRightInd w:val="0"/>
              <w:snapToGrid w:val="0"/>
              <w:spacing w:line="520" w:lineRule="exact"/>
              <w:ind w:firstLine="560" w:firstLineChars="200"/>
              <w:rPr>
                <w:rFonts w:hint="eastAsia" w:eastAsia="宋体"/>
                <w:color w:val="0000E1"/>
                <w:sz w:val="28"/>
                <w:szCs w:val="28"/>
                <w:lang w:eastAsia="zh-CN"/>
              </w:rPr>
            </w:pPr>
            <w:r>
              <w:rPr>
                <w:rFonts w:hint="eastAsia"/>
                <w:color w:val="0000E1"/>
                <w:sz w:val="28"/>
                <w:szCs w:val="28"/>
                <w:lang w:eastAsia="zh-CN"/>
              </w:rPr>
              <w:t>本项目无废水排放，项目区地理位置，周边无地表水体，且项目无工业废水排放，与周边水环境无水利联系，因此未对地表水环境现状质量进行调查。</w:t>
            </w:r>
          </w:p>
          <w:p>
            <w:pPr>
              <w:spacing w:line="520" w:lineRule="exact"/>
              <w:rPr>
                <w:b/>
                <w:color w:val="auto"/>
                <w:sz w:val="28"/>
                <w:szCs w:val="28"/>
              </w:rPr>
            </w:pPr>
            <w:r>
              <w:rPr>
                <w:b/>
                <w:color w:val="auto"/>
                <w:sz w:val="28"/>
                <w:szCs w:val="28"/>
              </w:rPr>
              <w:t>3声环境质量现状</w:t>
            </w:r>
          </w:p>
          <w:p>
            <w:pPr>
              <w:adjustRightInd w:val="0"/>
              <w:snapToGrid w:val="0"/>
              <w:spacing w:line="520" w:lineRule="exact"/>
              <w:ind w:firstLine="560" w:firstLineChars="200"/>
              <w:rPr>
                <w:color w:val="auto"/>
                <w:kern w:val="0"/>
                <w:sz w:val="28"/>
                <w:szCs w:val="28"/>
              </w:rPr>
            </w:pPr>
            <w:r>
              <w:rPr>
                <w:color w:val="auto"/>
                <w:sz w:val="28"/>
                <w:szCs w:val="28"/>
              </w:rPr>
              <w:t>本项目厂界外周边50m范围内不存在声环境保护目标，不对项目声环境质量现状进行调查与评价</w:t>
            </w:r>
            <w:r>
              <w:rPr>
                <w:color w:val="auto"/>
                <w:kern w:val="0"/>
                <w:sz w:val="28"/>
                <w:szCs w:val="2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0" w:type="dxa"/>
            <w:vAlign w:val="center"/>
          </w:tcPr>
          <w:p>
            <w:pPr>
              <w:adjustRightInd w:val="0"/>
              <w:snapToGrid w:val="0"/>
              <w:spacing w:line="520" w:lineRule="exact"/>
              <w:jc w:val="center"/>
              <w:rPr>
                <w:color w:val="auto"/>
                <w:kern w:val="0"/>
                <w:sz w:val="28"/>
                <w:szCs w:val="28"/>
              </w:rPr>
            </w:pPr>
            <w:r>
              <w:rPr>
                <w:color w:val="auto"/>
                <w:kern w:val="0"/>
                <w:sz w:val="28"/>
                <w:szCs w:val="28"/>
              </w:rPr>
              <w:t>环境</w:t>
            </w:r>
          </w:p>
          <w:p>
            <w:pPr>
              <w:adjustRightInd w:val="0"/>
              <w:snapToGrid w:val="0"/>
              <w:spacing w:line="520" w:lineRule="exact"/>
              <w:jc w:val="center"/>
              <w:rPr>
                <w:color w:val="auto"/>
                <w:kern w:val="0"/>
                <w:sz w:val="28"/>
                <w:szCs w:val="28"/>
              </w:rPr>
            </w:pPr>
            <w:r>
              <w:rPr>
                <w:color w:val="auto"/>
                <w:kern w:val="0"/>
                <w:sz w:val="28"/>
                <w:szCs w:val="28"/>
              </w:rPr>
              <w:t>保护</w:t>
            </w:r>
          </w:p>
          <w:p>
            <w:pPr>
              <w:adjustRightInd w:val="0"/>
              <w:snapToGrid w:val="0"/>
              <w:spacing w:line="520" w:lineRule="exact"/>
              <w:jc w:val="center"/>
              <w:rPr>
                <w:color w:val="auto"/>
                <w:kern w:val="0"/>
                <w:sz w:val="28"/>
                <w:szCs w:val="28"/>
              </w:rPr>
            </w:pPr>
            <w:r>
              <w:rPr>
                <w:color w:val="auto"/>
                <w:kern w:val="0"/>
                <w:sz w:val="28"/>
                <w:szCs w:val="28"/>
              </w:rPr>
              <w:t>目标</w:t>
            </w:r>
          </w:p>
        </w:tc>
        <w:tc>
          <w:tcPr>
            <w:tcW w:w="8076" w:type="dxa"/>
            <w:vAlign w:val="center"/>
          </w:tcPr>
          <w:p>
            <w:pPr>
              <w:ind w:firstLine="560" w:firstLineChars="200"/>
              <w:jc w:val="center"/>
              <w:rPr>
                <w:color w:val="auto"/>
                <w:kern w:val="0"/>
                <w:sz w:val="28"/>
                <w:szCs w:val="28"/>
              </w:rPr>
            </w:pPr>
            <w:r>
              <w:rPr>
                <w:rFonts w:hint="eastAsia"/>
                <w:color w:val="auto"/>
                <w:kern w:val="0"/>
                <w:sz w:val="28"/>
                <w:szCs w:val="28"/>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0" w:type="dxa"/>
            <w:tcMar>
              <w:left w:w="28" w:type="dxa"/>
              <w:right w:w="28" w:type="dxa"/>
            </w:tcMar>
            <w:vAlign w:val="center"/>
          </w:tcPr>
          <w:p>
            <w:pPr>
              <w:adjustRightInd w:val="0"/>
              <w:snapToGrid w:val="0"/>
              <w:spacing w:line="520" w:lineRule="exact"/>
              <w:jc w:val="center"/>
              <w:rPr>
                <w:color w:val="auto"/>
                <w:kern w:val="0"/>
                <w:sz w:val="28"/>
                <w:szCs w:val="28"/>
              </w:rPr>
            </w:pPr>
            <w:r>
              <w:rPr>
                <w:color w:val="auto"/>
                <w:kern w:val="0"/>
                <w:sz w:val="28"/>
                <w:szCs w:val="28"/>
              </w:rPr>
              <w:t>污染</w:t>
            </w:r>
          </w:p>
          <w:p>
            <w:pPr>
              <w:adjustRightInd w:val="0"/>
              <w:snapToGrid w:val="0"/>
              <w:spacing w:line="520" w:lineRule="exact"/>
              <w:jc w:val="center"/>
              <w:rPr>
                <w:color w:val="auto"/>
                <w:kern w:val="0"/>
                <w:sz w:val="28"/>
                <w:szCs w:val="28"/>
              </w:rPr>
            </w:pPr>
            <w:r>
              <w:rPr>
                <w:color w:val="auto"/>
                <w:kern w:val="0"/>
                <w:sz w:val="28"/>
                <w:szCs w:val="28"/>
              </w:rPr>
              <w:t>物排</w:t>
            </w:r>
          </w:p>
          <w:p>
            <w:pPr>
              <w:adjustRightInd w:val="0"/>
              <w:snapToGrid w:val="0"/>
              <w:spacing w:line="520" w:lineRule="exact"/>
              <w:jc w:val="center"/>
              <w:rPr>
                <w:color w:val="auto"/>
                <w:kern w:val="0"/>
                <w:sz w:val="28"/>
                <w:szCs w:val="28"/>
              </w:rPr>
            </w:pPr>
            <w:r>
              <w:rPr>
                <w:color w:val="auto"/>
                <w:kern w:val="0"/>
                <w:sz w:val="28"/>
                <w:szCs w:val="28"/>
              </w:rPr>
              <w:t>放控</w:t>
            </w:r>
          </w:p>
          <w:p>
            <w:pPr>
              <w:adjustRightInd w:val="0"/>
              <w:snapToGrid w:val="0"/>
              <w:spacing w:line="520" w:lineRule="exact"/>
              <w:jc w:val="center"/>
              <w:rPr>
                <w:color w:val="auto"/>
                <w:kern w:val="0"/>
                <w:sz w:val="28"/>
                <w:szCs w:val="28"/>
              </w:rPr>
            </w:pPr>
            <w:r>
              <w:rPr>
                <w:color w:val="auto"/>
                <w:kern w:val="0"/>
                <w:sz w:val="28"/>
                <w:szCs w:val="28"/>
              </w:rPr>
              <w:t>制标</w:t>
            </w:r>
          </w:p>
          <w:p>
            <w:pPr>
              <w:adjustRightInd w:val="0"/>
              <w:snapToGrid w:val="0"/>
              <w:spacing w:line="520" w:lineRule="exact"/>
              <w:jc w:val="center"/>
              <w:rPr>
                <w:color w:val="auto"/>
                <w:kern w:val="0"/>
                <w:sz w:val="28"/>
                <w:szCs w:val="28"/>
              </w:rPr>
            </w:pPr>
            <w:r>
              <w:rPr>
                <w:color w:val="auto"/>
                <w:kern w:val="0"/>
                <w:sz w:val="28"/>
                <w:szCs w:val="28"/>
              </w:rPr>
              <w:t>准</w:t>
            </w:r>
          </w:p>
        </w:tc>
        <w:tc>
          <w:tcPr>
            <w:tcW w:w="8076" w:type="dxa"/>
            <w:vAlign w:val="center"/>
          </w:tcPr>
          <w:p>
            <w:pPr>
              <w:adjustRightInd w:val="0"/>
              <w:snapToGrid w:val="0"/>
              <w:spacing w:line="520" w:lineRule="exact"/>
              <w:rPr>
                <w:b/>
                <w:color w:val="auto"/>
                <w:sz w:val="28"/>
                <w:szCs w:val="28"/>
              </w:rPr>
            </w:pPr>
            <w:r>
              <w:rPr>
                <w:b/>
                <w:color w:val="auto"/>
                <w:sz w:val="28"/>
                <w:szCs w:val="28"/>
              </w:rPr>
              <w:t>1废气排放标准</w:t>
            </w:r>
          </w:p>
          <w:p>
            <w:pPr>
              <w:adjustRightInd w:val="0"/>
              <w:snapToGrid w:val="0"/>
              <w:spacing w:line="520" w:lineRule="exact"/>
              <w:ind w:firstLine="560" w:firstLineChars="200"/>
              <w:rPr>
                <w:rFonts w:hint="eastAsia"/>
                <w:color w:val="auto"/>
                <w:kern w:val="0"/>
                <w:sz w:val="28"/>
                <w:szCs w:val="28"/>
              </w:rPr>
            </w:pPr>
            <w:r>
              <w:rPr>
                <w:rFonts w:hint="eastAsia"/>
                <w:color w:val="auto"/>
                <w:kern w:val="0"/>
                <w:sz w:val="28"/>
                <w:szCs w:val="28"/>
              </w:rPr>
              <w:t>本项目的废气污染源主要是锅炉废气和苯板生产过程中聚苯乙烯分解产生有机废气。</w:t>
            </w:r>
          </w:p>
          <w:p>
            <w:pPr>
              <w:adjustRightInd w:val="0"/>
              <w:snapToGrid w:val="0"/>
              <w:spacing w:line="520" w:lineRule="exact"/>
              <w:ind w:firstLine="560" w:firstLineChars="200"/>
              <w:rPr>
                <w:color w:val="auto"/>
                <w:kern w:val="0"/>
                <w:sz w:val="28"/>
                <w:szCs w:val="28"/>
              </w:rPr>
            </w:pPr>
            <w:r>
              <w:rPr>
                <w:color w:val="auto"/>
                <w:kern w:val="0"/>
                <w:sz w:val="28"/>
                <w:szCs w:val="28"/>
              </w:rPr>
              <w:t>（1）</w:t>
            </w:r>
            <w:r>
              <w:rPr>
                <w:rFonts w:hint="eastAsia"/>
                <w:color w:val="auto"/>
                <w:kern w:val="0"/>
                <w:sz w:val="28"/>
                <w:szCs w:val="28"/>
              </w:rPr>
              <w:t>有组织排放有机废气执行</w:t>
            </w:r>
            <w:r>
              <w:rPr>
                <w:color w:val="auto"/>
                <w:kern w:val="0"/>
                <w:sz w:val="28"/>
                <w:szCs w:val="28"/>
              </w:rPr>
              <w:t>《</w:t>
            </w:r>
            <w:r>
              <w:rPr>
                <w:rFonts w:hint="eastAsia"/>
                <w:color w:val="auto"/>
                <w:kern w:val="0"/>
                <w:sz w:val="28"/>
                <w:szCs w:val="28"/>
              </w:rPr>
              <w:t>合成树脂工业污染物</w:t>
            </w:r>
            <w:r>
              <w:rPr>
                <w:color w:val="auto"/>
                <w:kern w:val="0"/>
                <w:sz w:val="28"/>
                <w:szCs w:val="28"/>
              </w:rPr>
              <w:t>排放标准》（GB</w:t>
            </w:r>
            <w:r>
              <w:rPr>
                <w:rFonts w:hint="eastAsia"/>
                <w:color w:val="auto"/>
                <w:kern w:val="0"/>
                <w:sz w:val="28"/>
                <w:szCs w:val="28"/>
              </w:rPr>
              <w:t>31572</w:t>
            </w:r>
            <w:r>
              <w:rPr>
                <w:color w:val="auto"/>
                <w:kern w:val="0"/>
                <w:sz w:val="28"/>
                <w:szCs w:val="28"/>
              </w:rPr>
              <w:t>—</w:t>
            </w:r>
            <w:r>
              <w:rPr>
                <w:rFonts w:hint="eastAsia"/>
                <w:color w:val="auto"/>
                <w:kern w:val="0"/>
                <w:sz w:val="28"/>
                <w:szCs w:val="28"/>
              </w:rPr>
              <w:t>2015</w:t>
            </w:r>
            <w:r>
              <w:rPr>
                <w:color w:val="auto"/>
                <w:kern w:val="0"/>
                <w:sz w:val="28"/>
                <w:szCs w:val="28"/>
              </w:rPr>
              <w:t>）</w:t>
            </w:r>
            <w:r>
              <w:rPr>
                <w:rFonts w:hint="eastAsia"/>
                <w:color w:val="auto"/>
                <w:kern w:val="0"/>
                <w:sz w:val="28"/>
                <w:szCs w:val="28"/>
              </w:rPr>
              <w:t>表4标准中浓度排放限制要求，详见表10：</w:t>
            </w:r>
          </w:p>
          <w:p>
            <w:pPr>
              <w:autoSpaceDE w:val="0"/>
              <w:autoSpaceDN w:val="0"/>
              <w:ind w:firstLine="480" w:firstLineChars="200"/>
              <w:rPr>
                <w:b/>
                <w:bCs/>
                <w:color w:val="auto"/>
                <w:sz w:val="24"/>
                <w:lang w:val="zh-CN" w:bidi="zh-CN"/>
              </w:rPr>
            </w:pPr>
            <w:r>
              <w:rPr>
                <w:rFonts w:eastAsia="黑体"/>
                <w:color w:val="auto"/>
                <w:sz w:val="24"/>
                <w:lang w:val="zh-CN" w:bidi="zh-CN"/>
              </w:rPr>
              <w:t>表</w:t>
            </w:r>
            <w:r>
              <w:rPr>
                <w:rFonts w:hint="eastAsia" w:eastAsia="黑体"/>
                <w:color w:val="auto"/>
                <w:sz w:val="24"/>
                <w:lang w:bidi="zh-CN"/>
              </w:rPr>
              <w:t>10</w:t>
            </w:r>
            <w:r>
              <w:rPr>
                <w:rFonts w:eastAsia="黑体"/>
                <w:color w:val="auto"/>
                <w:sz w:val="24"/>
                <w:lang w:bidi="zh-CN"/>
              </w:rPr>
              <w:t xml:space="preserve">   </w:t>
            </w:r>
            <w:r>
              <w:rPr>
                <w:rFonts w:eastAsia="黑体"/>
                <w:color w:val="auto"/>
                <w:sz w:val="24"/>
                <w:lang w:val="zh-CN" w:bidi="zh-CN"/>
              </w:rPr>
              <w:t xml:space="preserve"> </w:t>
            </w:r>
            <w:r>
              <w:rPr>
                <w:rFonts w:eastAsia="黑体"/>
                <w:color w:val="auto"/>
                <w:sz w:val="24"/>
                <w:lang w:bidi="zh-CN"/>
              </w:rPr>
              <w:t xml:space="preserve">      </w:t>
            </w:r>
            <w:r>
              <w:rPr>
                <w:rFonts w:hint="eastAsia" w:eastAsia="黑体"/>
                <w:color w:val="auto"/>
                <w:sz w:val="24"/>
                <w:lang w:bidi="zh-CN"/>
              </w:rPr>
              <w:t>有组织有机废气排放限制</w:t>
            </w:r>
          </w:p>
          <w:tbl>
            <w:tblPr>
              <w:tblStyle w:val="18"/>
              <w:tblW w:w="4998" w:type="pct"/>
              <w:tblInd w:w="15"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2303"/>
              <w:gridCol w:w="2557"/>
              <w:gridCol w:w="2997"/>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2303" w:type="dxa"/>
                  <w:vAlign w:val="center"/>
                </w:tcPr>
                <w:p>
                  <w:pPr>
                    <w:autoSpaceDE w:val="0"/>
                    <w:autoSpaceDN w:val="0"/>
                    <w:jc w:val="center"/>
                    <w:rPr>
                      <w:bCs/>
                      <w:color w:val="auto"/>
                      <w:szCs w:val="21"/>
                      <w:lang w:val="zh-CN" w:bidi="zh-CN"/>
                    </w:rPr>
                  </w:pPr>
                  <w:r>
                    <w:rPr>
                      <w:bCs/>
                      <w:color w:val="auto"/>
                      <w:szCs w:val="21"/>
                      <w:lang w:val="zh-CN" w:bidi="zh-CN"/>
                    </w:rPr>
                    <w:t>来源</w:t>
                  </w:r>
                </w:p>
              </w:tc>
              <w:tc>
                <w:tcPr>
                  <w:tcW w:w="2557" w:type="dxa"/>
                  <w:vAlign w:val="center"/>
                </w:tcPr>
                <w:p>
                  <w:pPr>
                    <w:autoSpaceDE w:val="0"/>
                    <w:autoSpaceDN w:val="0"/>
                    <w:jc w:val="center"/>
                    <w:rPr>
                      <w:bCs/>
                      <w:color w:val="auto"/>
                      <w:szCs w:val="21"/>
                      <w:lang w:val="zh-CN" w:bidi="zh-CN"/>
                    </w:rPr>
                  </w:pPr>
                  <w:r>
                    <w:rPr>
                      <w:rFonts w:hint="eastAsia"/>
                      <w:bCs/>
                      <w:color w:val="auto"/>
                      <w:szCs w:val="21"/>
                      <w:lang w:bidi="zh-CN"/>
                    </w:rPr>
                    <w:t>排放浓度限制（mg/m</w:t>
                  </w:r>
                  <w:r>
                    <w:rPr>
                      <w:rFonts w:hint="eastAsia"/>
                      <w:bCs/>
                      <w:color w:val="auto"/>
                      <w:szCs w:val="21"/>
                      <w:vertAlign w:val="superscript"/>
                      <w:lang w:bidi="zh-CN"/>
                    </w:rPr>
                    <w:t>3</w:t>
                  </w:r>
                  <w:r>
                    <w:rPr>
                      <w:rFonts w:hint="eastAsia"/>
                      <w:bCs/>
                      <w:color w:val="auto"/>
                      <w:szCs w:val="21"/>
                      <w:lang w:bidi="zh-CN"/>
                    </w:rPr>
                    <w:t>）</w:t>
                  </w:r>
                </w:p>
              </w:tc>
              <w:tc>
                <w:tcPr>
                  <w:tcW w:w="2997" w:type="dxa"/>
                  <w:vAlign w:val="center"/>
                </w:tcPr>
                <w:p>
                  <w:pPr>
                    <w:autoSpaceDE w:val="0"/>
                    <w:autoSpaceDN w:val="0"/>
                    <w:jc w:val="center"/>
                    <w:rPr>
                      <w:color w:val="auto"/>
                      <w:szCs w:val="21"/>
                      <w:lang w:bidi="zh-CN"/>
                    </w:rPr>
                  </w:pPr>
                  <w:r>
                    <w:rPr>
                      <w:rFonts w:hint="eastAsia"/>
                      <w:color w:val="auto"/>
                      <w:szCs w:val="21"/>
                      <w:lang w:bidi="zh-CN"/>
                    </w:rPr>
                    <w:t>排放速率限制（kg/h）</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2303" w:type="dxa"/>
                  <w:vAlign w:val="center"/>
                </w:tcPr>
                <w:p>
                  <w:pPr>
                    <w:autoSpaceDE w:val="0"/>
                    <w:autoSpaceDN w:val="0"/>
                    <w:jc w:val="center"/>
                    <w:rPr>
                      <w:color w:val="auto"/>
                      <w:szCs w:val="21"/>
                      <w:lang w:val="zh-CN" w:bidi="zh-CN"/>
                    </w:rPr>
                  </w:pPr>
                  <w:r>
                    <w:rPr>
                      <w:rFonts w:hint="eastAsia"/>
                      <w:color w:val="auto"/>
                      <w:szCs w:val="21"/>
                      <w:lang w:bidi="zh-CN"/>
                    </w:rPr>
                    <w:t>非甲烷总烃</w:t>
                  </w:r>
                </w:p>
              </w:tc>
              <w:tc>
                <w:tcPr>
                  <w:tcW w:w="2557" w:type="dxa"/>
                  <w:vAlign w:val="center"/>
                </w:tcPr>
                <w:p>
                  <w:pPr>
                    <w:autoSpaceDE w:val="0"/>
                    <w:autoSpaceDN w:val="0"/>
                    <w:jc w:val="center"/>
                    <w:rPr>
                      <w:color w:val="auto"/>
                      <w:szCs w:val="21"/>
                      <w:lang w:bidi="zh-CN"/>
                    </w:rPr>
                  </w:pPr>
                  <w:r>
                    <w:rPr>
                      <w:rFonts w:hint="eastAsia"/>
                      <w:color w:val="auto"/>
                      <w:szCs w:val="21"/>
                      <w:lang w:bidi="zh-CN"/>
                    </w:rPr>
                    <w:t>100</w:t>
                  </w:r>
                </w:p>
              </w:tc>
              <w:tc>
                <w:tcPr>
                  <w:tcW w:w="2997" w:type="dxa"/>
                  <w:vAlign w:val="center"/>
                </w:tcPr>
                <w:p>
                  <w:pPr>
                    <w:autoSpaceDE w:val="0"/>
                    <w:autoSpaceDN w:val="0"/>
                    <w:jc w:val="center"/>
                    <w:rPr>
                      <w:color w:val="auto"/>
                      <w:szCs w:val="21"/>
                      <w:lang w:val="zh-CN" w:bidi="zh-CN"/>
                    </w:rPr>
                  </w:pPr>
                  <w:r>
                    <w:rPr>
                      <w:rFonts w:hint="eastAsia"/>
                      <w:color w:val="auto"/>
                      <w:szCs w:val="21"/>
                      <w:lang w:bidi="zh-CN"/>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419" w:hRule="atLeast"/>
              </w:trPr>
              <w:tc>
                <w:tcPr>
                  <w:tcW w:w="2303" w:type="dxa"/>
                  <w:vAlign w:val="center"/>
                </w:tcPr>
                <w:p>
                  <w:pPr>
                    <w:autoSpaceDE w:val="0"/>
                    <w:autoSpaceDN w:val="0"/>
                    <w:jc w:val="center"/>
                    <w:rPr>
                      <w:color w:val="auto"/>
                      <w:szCs w:val="21"/>
                      <w:lang w:bidi="zh-CN"/>
                    </w:rPr>
                  </w:pPr>
                  <w:r>
                    <w:rPr>
                      <w:rFonts w:hint="eastAsia"/>
                      <w:color w:val="auto"/>
                      <w:szCs w:val="21"/>
                      <w:lang w:bidi="zh-CN"/>
                    </w:rPr>
                    <w:t>单位产品非甲烷总烃排放量（kg/t产品）</w:t>
                  </w:r>
                </w:p>
              </w:tc>
              <w:tc>
                <w:tcPr>
                  <w:tcW w:w="5554" w:type="dxa"/>
                  <w:gridSpan w:val="2"/>
                  <w:vAlign w:val="center"/>
                </w:tcPr>
                <w:p>
                  <w:pPr>
                    <w:autoSpaceDE w:val="0"/>
                    <w:autoSpaceDN w:val="0"/>
                    <w:jc w:val="center"/>
                    <w:rPr>
                      <w:color w:val="auto"/>
                      <w:szCs w:val="21"/>
                      <w:lang w:bidi="zh-CN"/>
                    </w:rPr>
                  </w:pPr>
                  <w:r>
                    <w:rPr>
                      <w:rFonts w:hint="eastAsia"/>
                      <w:color w:val="auto"/>
                      <w:szCs w:val="21"/>
                      <w:lang w:bidi="zh-CN"/>
                    </w:rPr>
                    <w:t>0.5</w:t>
                  </w:r>
                </w:p>
              </w:tc>
            </w:tr>
          </w:tbl>
          <w:p>
            <w:pPr>
              <w:numPr>
                <w:ilvl w:val="0"/>
                <w:numId w:val="3"/>
              </w:numPr>
              <w:adjustRightInd w:val="0"/>
              <w:snapToGrid w:val="0"/>
              <w:spacing w:line="520" w:lineRule="exact"/>
              <w:ind w:firstLine="560" w:firstLineChars="200"/>
              <w:rPr>
                <w:color w:val="auto"/>
                <w:kern w:val="0"/>
                <w:sz w:val="28"/>
                <w:szCs w:val="28"/>
              </w:rPr>
            </w:pPr>
            <w:r>
              <w:rPr>
                <w:rFonts w:hint="eastAsia"/>
                <w:color w:val="auto"/>
                <w:kern w:val="0"/>
                <w:sz w:val="28"/>
                <w:szCs w:val="28"/>
                <w:lang w:eastAsia="zh-CN"/>
              </w:rPr>
              <w:t>根据《国家能源局、环境保护部关于加强生物质成型燃料锅炉供热示范项目建设管理工作有关要求的通知》（国能新能〔2014〕520号）的要求，</w:t>
            </w:r>
            <w:r>
              <w:rPr>
                <w:rFonts w:hint="eastAsia"/>
                <w:color w:val="auto"/>
                <w:kern w:val="0"/>
                <w:sz w:val="28"/>
                <w:szCs w:val="28"/>
              </w:rPr>
              <w:t>生物质锅炉</w:t>
            </w:r>
            <w:r>
              <w:rPr>
                <w:rFonts w:hint="eastAsia"/>
                <w:color w:val="auto"/>
                <w:kern w:val="0"/>
                <w:sz w:val="28"/>
                <w:szCs w:val="28"/>
                <w:lang w:eastAsia="zh-CN"/>
              </w:rPr>
              <w:t>污染物排放控制应达到或优于天然气排放标准，因此本项目</w:t>
            </w:r>
            <w:r>
              <w:rPr>
                <w:rFonts w:hint="eastAsia"/>
                <w:color w:val="auto"/>
                <w:kern w:val="0"/>
                <w:sz w:val="28"/>
                <w:szCs w:val="28"/>
              </w:rPr>
              <w:t>锅炉烟气参照</w:t>
            </w:r>
            <w:r>
              <w:rPr>
                <w:rFonts w:hint="eastAsia"/>
                <w:color w:val="auto"/>
                <w:kern w:val="0"/>
                <w:sz w:val="28"/>
                <w:szCs w:val="28"/>
                <w:lang w:eastAsia="zh-CN"/>
              </w:rPr>
              <w:t>燃气锅炉</w:t>
            </w:r>
            <w:r>
              <w:rPr>
                <w:rFonts w:hint="eastAsia"/>
                <w:color w:val="auto"/>
                <w:kern w:val="0"/>
                <w:sz w:val="28"/>
                <w:szCs w:val="28"/>
              </w:rPr>
              <w:t>执行</w:t>
            </w:r>
            <w:r>
              <w:rPr>
                <w:rFonts w:eastAsia="Calibri"/>
                <w:color w:val="auto"/>
                <w:kern w:val="0"/>
                <w:sz w:val="28"/>
                <w:szCs w:val="28"/>
                <w:lang w:val="zh-CN"/>
              </w:rPr>
              <w:t>《</w:t>
            </w:r>
            <w:r>
              <w:rPr>
                <w:rFonts w:hint="eastAsia"/>
                <w:color w:val="auto"/>
                <w:kern w:val="0"/>
                <w:sz w:val="28"/>
                <w:szCs w:val="28"/>
              </w:rPr>
              <w:t>锅炉大气</w:t>
            </w:r>
            <w:r>
              <w:rPr>
                <w:rFonts w:eastAsia="Calibri"/>
                <w:color w:val="auto"/>
                <w:kern w:val="0"/>
                <w:sz w:val="28"/>
                <w:szCs w:val="28"/>
                <w:lang w:val="zh-CN"/>
              </w:rPr>
              <w:t>污染物排放标准》（GB</w:t>
            </w:r>
            <w:r>
              <w:rPr>
                <w:rFonts w:hint="eastAsia"/>
                <w:color w:val="auto"/>
                <w:kern w:val="0"/>
                <w:sz w:val="28"/>
                <w:szCs w:val="28"/>
              </w:rPr>
              <w:t>13271</w:t>
            </w:r>
            <w:r>
              <w:rPr>
                <w:rFonts w:eastAsia="Calibri"/>
                <w:color w:val="auto"/>
                <w:kern w:val="0"/>
                <w:sz w:val="28"/>
                <w:szCs w:val="28"/>
                <w:lang w:val="zh-CN"/>
              </w:rPr>
              <w:t>-</w:t>
            </w:r>
            <w:r>
              <w:rPr>
                <w:rFonts w:hint="eastAsia"/>
                <w:color w:val="auto"/>
                <w:kern w:val="0"/>
                <w:sz w:val="28"/>
                <w:szCs w:val="28"/>
              </w:rPr>
              <w:t>2014</w:t>
            </w:r>
            <w:r>
              <w:rPr>
                <w:rFonts w:eastAsia="Calibri"/>
                <w:color w:val="auto"/>
                <w:kern w:val="0"/>
                <w:sz w:val="28"/>
                <w:szCs w:val="28"/>
                <w:lang w:val="zh-CN"/>
              </w:rPr>
              <w:t>）</w:t>
            </w:r>
            <w:r>
              <w:rPr>
                <w:rFonts w:hint="eastAsia"/>
                <w:color w:val="auto"/>
                <w:kern w:val="0"/>
                <w:sz w:val="28"/>
                <w:szCs w:val="28"/>
              </w:rPr>
              <w:t>表2</w:t>
            </w:r>
            <w:r>
              <w:rPr>
                <w:rFonts w:hint="eastAsia"/>
                <w:color w:val="auto"/>
                <w:kern w:val="0"/>
                <w:sz w:val="28"/>
                <w:szCs w:val="28"/>
                <w:lang w:eastAsia="zh-CN"/>
              </w:rPr>
              <w:t>燃气</w:t>
            </w:r>
            <w:r>
              <w:rPr>
                <w:rFonts w:hint="eastAsia"/>
                <w:color w:val="auto"/>
                <w:kern w:val="0"/>
                <w:sz w:val="28"/>
                <w:szCs w:val="28"/>
              </w:rPr>
              <w:t>锅炉排放控制要求，详见表11：</w:t>
            </w:r>
          </w:p>
          <w:p>
            <w:pPr>
              <w:autoSpaceDE w:val="0"/>
              <w:autoSpaceDN w:val="0"/>
              <w:ind w:firstLine="720" w:firstLineChars="300"/>
              <w:rPr>
                <w:b/>
                <w:bCs/>
                <w:color w:val="auto"/>
                <w:sz w:val="24"/>
                <w:lang w:val="zh-CN" w:bidi="zh-CN"/>
              </w:rPr>
            </w:pPr>
            <w:r>
              <w:rPr>
                <w:rFonts w:eastAsia="黑体"/>
                <w:color w:val="auto"/>
                <w:sz w:val="24"/>
                <w:lang w:val="zh-CN" w:bidi="zh-CN"/>
              </w:rPr>
              <w:t>表</w:t>
            </w:r>
            <w:r>
              <w:rPr>
                <w:rFonts w:hint="eastAsia" w:eastAsia="黑体"/>
                <w:color w:val="auto"/>
                <w:sz w:val="24"/>
                <w:lang w:bidi="zh-CN"/>
              </w:rPr>
              <w:t>11</w:t>
            </w:r>
            <w:r>
              <w:rPr>
                <w:rFonts w:eastAsia="黑体"/>
                <w:color w:val="auto"/>
                <w:sz w:val="24"/>
                <w:lang w:bidi="zh-CN"/>
              </w:rPr>
              <w:t xml:space="preserve">  </w:t>
            </w:r>
            <w:r>
              <w:rPr>
                <w:rFonts w:eastAsia="黑体"/>
                <w:color w:val="auto"/>
                <w:sz w:val="24"/>
                <w:lang w:val="zh-CN" w:bidi="zh-CN"/>
              </w:rPr>
              <w:t xml:space="preserve"> </w:t>
            </w:r>
            <w:r>
              <w:rPr>
                <w:rFonts w:eastAsia="黑体"/>
                <w:color w:val="auto"/>
                <w:sz w:val="24"/>
                <w:lang w:bidi="zh-CN"/>
              </w:rPr>
              <w:t xml:space="preserve">      </w:t>
            </w:r>
            <w:r>
              <w:rPr>
                <w:rFonts w:hint="eastAsia" w:eastAsia="黑体"/>
                <w:color w:val="auto"/>
                <w:sz w:val="24"/>
                <w:lang w:bidi="zh-CN"/>
              </w:rPr>
              <w:t>锅炉大气污染物综合排放</w:t>
            </w:r>
            <w:r>
              <w:rPr>
                <w:rFonts w:eastAsia="黑体"/>
                <w:color w:val="auto"/>
                <w:sz w:val="24"/>
                <w:lang w:val="zh-CN" w:bidi="zh-CN"/>
              </w:rPr>
              <w:t>标准</w:t>
            </w:r>
          </w:p>
          <w:tbl>
            <w:tblPr>
              <w:tblStyle w:val="18"/>
              <w:tblW w:w="4999"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4025"/>
              <w:gridCol w:w="3833"/>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2561" w:type="pct"/>
                  <w:vAlign w:val="center"/>
                </w:tcPr>
                <w:p>
                  <w:pPr>
                    <w:autoSpaceDE w:val="0"/>
                    <w:autoSpaceDN w:val="0"/>
                    <w:jc w:val="center"/>
                    <w:rPr>
                      <w:bCs/>
                      <w:color w:val="auto"/>
                      <w:szCs w:val="21"/>
                      <w:lang w:val="zh-CN" w:bidi="zh-CN"/>
                    </w:rPr>
                  </w:pPr>
                  <w:r>
                    <w:rPr>
                      <w:rFonts w:hint="eastAsia"/>
                      <w:bCs/>
                      <w:color w:val="auto"/>
                      <w:szCs w:val="21"/>
                      <w:lang w:bidi="zh-CN"/>
                    </w:rPr>
                    <w:t>污染因子</w:t>
                  </w:r>
                </w:p>
              </w:tc>
              <w:tc>
                <w:tcPr>
                  <w:tcW w:w="2438" w:type="pct"/>
                  <w:vAlign w:val="center"/>
                </w:tcPr>
                <w:p>
                  <w:pPr>
                    <w:autoSpaceDE w:val="0"/>
                    <w:autoSpaceDN w:val="0"/>
                    <w:jc w:val="center"/>
                    <w:rPr>
                      <w:bCs/>
                      <w:color w:val="auto"/>
                      <w:szCs w:val="21"/>
                      <w:lang w:val="zh-CN" w:bidi="zh-CN"/>
                    </w:rPr>
                  </w:pPr>
                  <w:r>
                    <w:rPr>
                      <w:rFonts w:hint="eastAsia"/>
                      <w:bCs/>
                      <w:color w:val="auto"/>
                      <w:szCs w:val="21"/>
                      <w:lang w:bidi="zh-CN"/>
                    </w:rPr>
                    <w:t>浓度限制（mg/m</w:t>
                  </w:r>
                  <w:r>
                    <w:rPr>
                      <w:rFonts w:hint="eastAsia"/>
                      <w:bCs/>
                      <w:color w:val="auto"/>
                      <w:szCs w:val="21"/>
                      <w:vertAlign w:val="superscript"/>
                      <w:lang w:bidi="zh-CN"/>
                    </w:rPr>
                    <w:t>3</w:t>
                  </w:r>
                  <w:r>
                    <w:rPr>
                      <w:rFonts w:hint="eastAsia"/>
                      <w:bCs/>
                      <w:color w:val="auto"/>
                      <w:szCs w:val="21"/>
                      <w:lang w:bidi="zh-CN"/>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2561" w:type="pct"/>
                  <w:vAlign w:val="center"/>
                </w:tcPr>
                <w:p>
                  <w:pPr>
                    <w:autoSpaceDE w:val="0"/>
                    <w:autoSpaceDN w:val="0"/>
                    <w:jc w:val="center"/>
                    <w:rPr>
                      <w:color w:val="auto"/>
                      <w:szCs w:val="21"/>
                      <w:lang w:bidi="zh-CN"/>
                    </w:rPr>
                  </w:pPr>
                  <w:r>
                    <w:rPr>
                      <w:rFonts w:hint="eastAsia"/>
                      <w:color w:val="auto"/>
                      <w:szCs w:val="21"/>
                      <w:lang w:bidi="zh-CN"/>
                    </w:rPr>
                    <w:t>颗粒物</w:t>
                  </w:r>
                </w:p>
              </w:tc>
              <w:tc>
                <w:tcPr>
                  <w:tcW w:w="2438" w:type="pct"/>
                  <w:vAlign w:val="center"/>
                </w:tcPr>
                <w:p>
                  <w:pPr>
                    <w:autoSpaceDE w:val="0"/>
                    <w:autoSpaceDN w:val="0"/>
                    <w:jc w:val="center"/>
                    <w:rPr>
                      <w:rFonts w:hint="default"/>
                      <w:color w:val="auto"/>
                      <w:szCs w:val="21"/>
                      <w:lang w:val="en-US" w:bidi="zh-CN"/>
                    </w:rPr>
                  </w:pPr>
                  <w:r>
                    <w:rPr>
                      <w:rFonts w:hint="eastAsia"/>
                      <w:color w:val="auto"/>
                      <w:szCs w:val="21"/>
                      <w:lang w:val="en-US" w:bidi="zh-CN"/>
                    </w:rPr>
                    <w:t>20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2561" w:type="pct"/>
                  <w:vAlign w:val="center"/>
                </w:tcPr>
                <w:p>
                  <w:pPr>
                    <w:autoSpaceDE w:val="0"/>
                    <w:autoSpaceDN w:val="0"/>
                    <w:jc w:val="center"/>
                    <w:rPr>
                      <w:color w:val="auto"/>
                      <w:szCs w:val="21"/>
                      <w:lang w:val="zh-CN" w:bidi="zh-CN"/>
                    </w:rPr>
                  </w:pPr>
                  <w:r>
                    <w:rPr>
                      <w:rFonts w:hint="eastAsia"/>
                      <w:color w:val="auto"/>
                      <w:position w:val="2"/>
                      <w:szCs w:val="21"/>
                      <w:lang w:bidi="zh-CN"/>
                    </w:rPr>
                    <w:t>二氧化硫</w:t>
                  </w:r>
                </w:p>
              </w:tc>
              <w:tc>
                <w:tcPr>
                  <w:tcW w:w="2438" w:type="pct"/>
                  <w:vAlign w:val="center"/>
                </w:tcPr>
                <w:p>
                  <w:pPr>
                    <w:autoSpaceDE w:val="0"/>
                    <w:autoSpaceDN w:val="0"/>
                    <w:jc w:val="center"/>
                    <w:rPr>
                      <w:rFonts w:hint="default"/>
                      <w:color w:val="auto"/>
                      <w:szCs w:val="21"/>
                      <w:lang w:val="en-US" w:bidi="zh-CN"/>
                    </w:rPr>
                  </w:pPr>
                  <w:r>
                    <w:rPr>
                      <w:rFonts w:hint="eastAsia"/>
                      <w:color w:val="auto"/>
                      <w:szCs w:val="21"/>
                      <w:lang w:val="en-US" w:bidi="zh-CN"/>
                    </w:rPr>
                    <w:t>50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2561" w:type="pct"/>
                  <w:vAlign w:val="center"/>
                </w:tcPr>
                <w:p>
                  <w:pPr>
                    <w:autoSpaceDE w:val="0"/>
                    <w:autoSpaceDN w:val="0"/>
                    <w:jc w:val="center"/>
                    <w:rPr>
                      <w:color w:val="auto"/>
                      <w:szCs w:val="21"/>
                      <w:lang w:val="zh-CN" w:bidi="zh-CN"/>
                    </w:rPr>
                  </w:pPr>
                  <w:r>
                    <w:rPr>
                      <w:rFonts w:hint="eastAsia"/>
                      <w:color w:val="auto"/>
                      <w:szCs w:val="21"/>
                      <w:lang w:bidi="zh-CN"/>
                    </w:rPr>
                    <w:t>氮氧化物</w:t>
                  </w:r>
                </w:p>
              </w:tc>
              <w:tc>
                <w:tcPr>
                  <w:tcW w:w="2438" w:type="pct"/>
                  <w:vAlign w:val="center"/>
                </w:tcPr>
                <w:p>
                  <w:pPr>
                    <w:autoSpaceDE w:val="0"/>
                    <w:autoSpaceDN w:val="0"/>
                    <w:jc w:val="center"/>
                    <w:rPr>
                      <w:rFonts w:hint="default"/>
                      <w:color w:val="auto"/>
                      <w:szCs w:val="21"/>
                      <w:lang w:val="en-US" w:bidi="zh-CN"/>
                    </w:rPr>
                  </w:pPr>
                  <w:r>
                    <w:rPr>
                      <w:rFonts w:hint="eastAsia"/>
                      <w:color w:val="auto"/>
                      <w:szCs w:val="21"/>
                      <w:lang w:val="en-US" w:bidi="zh-CN"/>
                    </w:rPr>
                    <w:t>200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2561" w:type="pct"/>
                  <w:vAlign w:val="center"/>
                </w:tcPr>
                <w:p>
                  <w:pPr>
                    <w:autoSpaceDE w:val="0"/>
                    <w:autoSpaceDN w:val="0"/>
                    <w:jc w:val="center"/>
                    <w:rPr>
                      <w:color w:val="auto"/>
                      <w:szCs w:val="21"/>
                      <w:lang w:bidi="zh-CN"/>
                    </w:rPr>
                  </w:pPr>
                  <w:r>
                    <w:rPr>
                      <w:rFonts w:hint="eastAsia"/>
                      <w:color w:val="auto"/>
                      <w:szCs w:val="21"/>
                      <w:lang w:bidi="zh-CN"/>
                    </w:rPr>
                    <w:t>烟气黑曼（林格曼黑度，级）</w:t>
                  </w:r>
                </w:p>
              </w:tc>
              <w:tc>
                <w:tcPr>
                  <w:tcW w:w="2438" w:type="pct"/>
                  <w:vAlign w:val="center"/>
                </w:tcPr>
                <w:p>
                  <w:pPr>
                    <w:autoSpaceDE w:val="0"/>
                    <w:autoSpaceDN w:val="0"/>
                    <w:jc w:val="center"/>
                    <w:rPr>
                      <w:color w:val="auto"/>
                      <w:szCs w:val="21"/>
                      <w:lang w:bidi="zh-CN"/>
                    </w:rPr>
                  </w:pPr>
                  <w:r>
                    <w:rPr>
                      <w:rFonts w:hint="eastAsia"/>
                      <w:color w:val="auto"/>
                      <w:szCs w:val="21"/>
                      <w:lang w:bidi="zh-CN"/>
                    </w:rPr>
                    <w:t>≤</w:t>
                  </w:r>
                  <w:r>
                    <w:rPr>
                      <w:color w:val="auto"/>
                      <w:szCs w:val="21"/>
                      <w:lang w:bidi="zh-CN"/>
                    </w:rPr>
                    <w:t>1</w:t>
                  </w:r>
                </w:p>
              </w:tc>
            </w:tr>
          </w:tbl>
          <w:p>
            <w:pPr>
              <w:adjustRightInd w:val="0"/>
              <w:snapToGrid w:val="0"/>
              <w:spacing w:line="520" w:lineRule="exact"/>
              <w:ind w:firstLine="560" w:firstLineChars="200"/>
              <w:rPr>
                <w:rFonts w:hint="eastAsia" w:eastAsia="宋体"/>
                <w:color w:val="auto"/>
                <w:sz w:val="24"/>
                <w:lang w:val="zh-CN" w:eastAsia="zh-CN" w:bidi="zh-CN"/>
              </w:rPr>
            </w:pPr>
            <w:r>
              <w:rPr>
                <w:color w:val="auto"/>
                <w:kern w:val="0"/>
                <w:sz w:val="28"/>
                <w:szCs w:val="28"/>
              </w:rPr>
              <w:t>（</w:t>
            </w:r>
            <w:r>
              <w:rPr>
                <w:rFonts w:hint="eastAsia"/>
                <w:color w:val="auto"/>
                <w:kern w:val="0"/>
                <w:sz w:val="28"/>
                <w:szCs w:val="28"/>
              </w:rPr>
              <w:t>3）无组织排放非甲烷总烃执行《合成树脂工业污染物排放标准》（GB13271-2014）表9</w:t>
            </w:r>
            <w:r>
              <w:rPr>
                <w:rFonts w:hint="eastAsia"/>
                <w:color w:val="0000FF"/>
                <w:sz w:val="28"/>
                <w:szCs w:val="28"/>
              </w:rPr>
              <w:t>及《挥发性有机物无组织排放控制标准》（GB37822—2019）</w:t>
            </w:r>
            <w:r>
              <w:rPr>
                <w:rFonts w:hint="eastAsia"/>
                <w:color w:val="0000FF"/>
                <w:kern w:val="0"/>
                <w:sz w:val="28"/>
                <w:szCs w:val="28"/>
              </w:rPr>
              <w:t>浓度</w:t>
            </w:r>
            <w:r>
              <w:rPr>
                <w:rFonts w:hint="eastAsia"/>
                <w:color w:val="0000FF"/>
                <w:kern w:val="0"/>
                <w:sz w:val="28"/>
                <w:szCs w:val="28"/>
                <w:lang w:eastAsia="zh-CN"/>
              </w:rPr>
              <w:t>限值</w:t>
            </w:r>
            <w:r>
              <w:rPr>
                <w:rFonts w:hint="eastAsia"/>
                <w:color w:val="auto"/>
                <w:kern w:val="0"/>
                <w:sz w:val="28"/>
                <w:szCs w:val="28"/>
                <w:lang w:eastAsia="zh-CN"/>
              </w:rPr>
              <w:t>；颗粒物执行《大气污染物综合排放标准》（GB16297-1996）表2中二级排放标准，</w:t>
            </w:r>
            <w:r>
              <w:rPr>
                <w:rFonts w:hint="eastAsia"/>
                <w:color w:val="auto"/>
                <w:kern w:val="0"/>
                <w:sz w:val="28"/>
                <w:szCs w:val="28"/>
              </w:rPr>
              <w:t>详见表12</w:t>
            </w:r>
            <w:r>
              <w:rPr>
                <w:rFonts w:hint="eastAsia"/>
                <w:color w:val="auto"/>
                <w:kern w:val="0"/>
                <w:sz w:val="28"/>
                <w:szCs w:val="28"/>
                <w:lang w:eastAsia="zh-CN"/>
              </w:rPr>
              <w:t>。</w:t>
            </w:r>
          </w:p>
          <w:p>
            <w:pPr>
              <w:autoSpaceDE w:val="0"/>
              <w:autoSpaceDN w:val="0"/>
              <w:ind w:firstLine="720" w:firstLineChars="300"/>
              <w:rPr>
                <w:b/>
                <w:bCs/>
                <w:color w:val="auto"/>
                <w:sz w:val="24"/>
                <w:lang w:bidi="zh-CN"/>
              </w:rPr>
            </w:pPr>
            <w:r>
              <w:rPr>
                <w:rFonts w:eastAsia="黑体"/>
                <w:color w:val="auto"/>
                <w:sz w:val="24"/>
                <w:lang w:val="zh-CN" w:bidi="zh-CN"/>
              </w:rPr>
              <w:t>表</w:t>
            </w:r>
            <w:r>
              <w:rPr>
                <w:rFonts w:hint="eastAsia" w:eastAsia="黑体"/>
                <w:color w:val="auto"/>
                <w:sz w:val="24"/>
                <w:lang w:bidi="zh-CN"/>
              </w:rPr>
              <w:t>12</w:t>
            </w:r>
            <w:r>
              <w:rPr>
                <w:rFonts w:eastAsia="黑体"/>
                <w:color w:val="auto"/>
                <w:sz w:val="24"/>
                <w:lang w:bidi="zh-CN"/>
              </w:rPr>
              <w:t xml:space="preserve"> </w:t>
            </w:r>
            <w:r>
              <w:rPr>
                <w:rFonts w:eastAsia="黑体"/>
                <w:color w:val="auto"/>
                <w:sz w:val="24"/>
                <w:lang w:val="zh-CN" w:bidi="zh-CN"/>
              </w:rPr>
              <w:t xml:space="preserve"> </w:t>
            </w:r>
            <w:r>
              <w:rPr>
                <w:rFonts w:eastAsia="黑体"/>
                <w:color w:val="auto"/>
                <w:sz w:val="24"/>
                <w:lang w:bidi="zh-CN"/>
              </w:rPr>
              <w:t xml:space="preserve">      </w:t>
            </w:r>
            <w:r>
              <w:rPr>
                <w:rFonts w:hint="eastAsia" w:eastAsia="黑体"/>
                <w:color w:val="auto"/>
                <w:sz w:val="24"/>
                <w:lang w:bidi="zh-CN"/>
              </w:rPr>
              <w:t>大气污染物无组织排放厂界浓度限制</w:t>
            </w:r>
          </w:p>
          <w:tbl>
            <w:tblPr>
              <w:tblStyle w:val="18"/>
              <w:tblW w:w="4998" w:type="pct"/>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2322"/>
              <w:gridCol w:w="2101"/>
              <w:gridCol w:w="3434"/>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1477" w:type="pct"/>
                  <w:vAlign w:val="center"/>
                </w:tcPr>
                <w:p>
                  <w:pPr>
                    <w:autoSpaceDE w:val="0"/>
                    <w:autoSpaceDN w:val="0"/>
                    <w:jc w:val="center"/>
                    <w:rPr>
                      <w:bCs/>
                      <w:color w:val="auto"/>
                      <w:szCs w:val="21"/>
                      <w:lang w:bidi="zh-CN"/>
                    </w:rPr>
                  </w:pPr>
                  <w:r>
                    <w:rPr>
                      <w:rFonts w:hint="eastAsia"/>
                      <w:bCs/>
                      <w:color w:val="auto"/>
                      <w:szCs w:val="21"/>
                      <w:lang w:bidi="zh-CN"/>
                    </w:rPr>
                    <w:t>污染物项目</w:t>
                  </w:r>
                </w:p>
              </w:tc>
              <w:tc>
                <w:tcPr>
                  <w:tcW w:w="1337" w:type="pct"/>
                  <w:vAlign w:val="center"/>
                </w:tcPr>
                <w:p>
                  <w:pPr>
                    <w:autoSpaceDE w:val="0"/>
                    <w:autoSpaceDN w:val="0"/>
                    <w:jc w:val="center"/>
                    <w:rPr>
                      <w:bCs/>
                      <w:color w:val="auto"/>
                      <w:szCs w:val="21"/>
                      <w:lang w:val="zh-CN" w:bidi="zh-CN"/>
                    </w:rPr>
                  </w:pPr>
                  <w:r>
                    <w:rPr>
                      <w:rFonts w:hint="eastAsia"/>
                      <w:bCs/>
                      <w:color w:val="auto"/>
                      <w:szCs w:val="21"/>
                      <w:lang w:bidi="zh-CN"/>
                    </w:rPr>
                    <w:t>排放限制（mg/m</w:t>
                  </w:r>
                  <w:r>
                    <w:rPr>
                      <w:rFonts w:hint="eastAsia"/>
                      <w:bCs/>
                      <w:color w:val="auto"/>
                      <w:szCs w:val="21"/>
                      <w:vertAlign w:val="superscript"/>
                      <w:lang w:bidi="zh-CN"/>
                    </w:rPr>
                    <w:t>3</w:t>
                  </w:r>
                  <w:r>
                    <w:rPr>
                      <w:rFonts w:hint="eastAsia"/>
                      <w:bCs/>
                      <w:color w:val="auto"/>
                      <w:szCs w:val="21"/>
                      <w:lang w:bidi="zh-CN"/>
                    </w:rPr>
                    <w:t>）</w:t>
                  </w:r>
                </w:p>
              </w:tc>
              <w:tc>
                <w:tcPr>
                  <w:tcW w:w="2185" w:type="pct"/>
                  <w:vAlign w:val="center"/>
                </w:tcPr>
                <w:p>
                  <w:pPr>
                    <w:autoSpaceDE w:val="0"/>
                    <w:autoSpaceDN w:val="0"/>
                    <w:jc w:val="center"/>
                    <w:rPr>
                      <w:rFonts w:hint="eastAsia"/>
                      <w:bCs/>
                      <w:color w:val="auto"/>
                      <w:szCs w:val="21"/>
                      <w:lang w:bidi="zh-CN"/>
                    </w:rPr>
                  </w:pPr>
                  <w:r>
                    <w:rPr>
                      <w:rFonts w:hint="eastAsia"/>
                      <w:bCs/>
                      <w:color w:val="auto"/>
                      <w:szCs w:val="21"/>
                      <w:lang w:bidi="zh-CN"/>
                    </w:rPr>
                    <w:t>执行标准</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1477" w:type="pct"/>
                  <w:vAlign w:val="center"/>
                </w:tcPr>
                <w:p>
                  <w:pPr>
                    <w:autoSpaceDE w:val="0"/>
                    <w:autoSpaceDN w:val="0"/>
                    <w:jc w:val="center"/>
                    <w:rPr>
                      <w:rFonts w:hint="eastAsia"/>
                      <w:bCs/>
                      <w:color w:val="0000FF"/>
                      <w:szCs w:val="21"/>
                      <w:lang w:bidi="zh-CN"/>
                    </w:rPr>
                  </w:pPr>
                  <w:r>
                    <w:rPr>
                      <w:rFonts w:hint="eastAsia"/>
                      <w:color w:val="0000FF"/>
                      <w:szCs w:val="21"/>
                      <w:lang w:val="zh-CN" w:bidi="zh-CN"/>
                    </w:rPr>
                    <w:t>非甲烷总烃（厂内）</w:t>
                  </w:r>
                </w:p>
              </w:tc>
              <w:tc>
                <w:tcPr>
                  <w:tcW w:w="1337" w:type="pct"/>
                  <w:vAlign w:val="center"/>
                </w:tcPr>
                <w:p>
                  <w:pPr>
                    <w:autoSpaceDE w:val="0"/>
                    <w:autoSpaceDN w:val="0"/>
                    <w:jc w:val="center"/>
                    <w:rPr>
                      <w:rFonts w:hint="eastAsia"/>
                      <w:bCs/>
                      <w:color w:val="0000FF"/>
                      <w:szCs w:val="21"/>
                      <w:lang w:bidi="zh-CN"/>
                    </w:rPr>
                  </w:pPr>
                  <w:r>
                    <w:rPr>
                      <w:rFonts w:hint="eastAsia"/>
                      <w:color w:val="0000FF"/>
                      <w:szCs w:val="21"/>
                    </w:rPr>
                    <w:t>10</w:t>
                  </w:r>
                </w:p>
              </w:tc>
              <w:tc>
                <w:tcPr>
                  <w:tcW w:w="2185" w:type="pct"/>
                  <w:vAlign w:val="center"/>
                </w:tcPr>
                <w:p>
                  <w:pPr>
                    <w:autoSpaceDE w:val="0"/>
                    <w:autoSpaceDN w:val="0"/>
                    <w:jc w:val="center"/>
                    <w:rPr>
                      <w:rFonts w:hint="eastAsia"/>
                      <w:color w:val="0000FF"/>
                      <w:szCs w:val="21"/>
                    </w:rPr>
                  </w:pPr>
                  <w:r>
                    <w:rPr>
                      <w:color w:val="0000FF"/>
                      <w:szCs w:val="21"/>
                      <w:lang w:val="zh-CN" w:bidi="zh-CN"/>
                    </w:rPr>
                    <w:t>《挥发性有机物无组织排放控制标准》（GB37822—2019）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477" w:type="pct"/>
                  <w:vAlign w:val="center"/>
                </w:tcPr>
                <w:p>
                  <w:pPr>
                    <w:autoSpaceDE w:val="0"/>
                    <w:autoSpaceDN w:val="0"/>
                    <w:jc w:val="center"/>
                    <w:rPr>
                      <w:color w:val="auto"/>
                      <w:szCs w:val="21"/>
                      <w:lang w:bidi="zh-CN"/>
                    </w:rPr>
                  </w:pPr>
                  <w:r>
                    <w:rPr>
                      <w:rFonts w:hint="eastAsia"/>
                      <w:color w:val="auto"/>
                      <w:szCs w:val="21"/>
                      <w:lang w:bidi="zh-CN"/>
                    </w:rPr>
                    <w:t>非甲烷总烃（厂界）</w:t>
                  </w:r>
                </w:p>
              </w:tc>
              <w:tc>
                <w:tcPr>
                  <w:tcW w:w="1337" w:type="pct"/>
                  <w:vAlign w:val="center"/>
                </w:tcPr>
                <w:p>
                  <w:pPr>
                    <w:autoSpaceDE w:val="0"/>
                    <w:autoSpaceDN w:val="0"/>
                    <w:jc w:val="center"/>
                    <w:rPr>
                      <w:color w:val="auto"/>
                      <w:szCs w:val="21"/>
                      <w:lang w:bidi="zh-CN"/>
                    </w:rPr>
                  </w:pPr>
                  <w:r>
                    <w:rPr>
                      <w:rFonts w:hint="eastAsia"/>
                      <w:color w:val="auto"/>
                      <w:szCs w:val="21"/>
                      <w:lang w:bidi="zh-CN"/>
                    </w:rPr>
                    <w:t>4.0</w:t>
                  </w:r>
                </w:p>
              </w:tc>
              <w:tc>
                <w:tcPr>
                  <w:tcW w:w="2185" w:type="pct"/>
                  <w:vAlign w:val="center"/>
                </w:tcPr>
                <w:p>
                  <w:pPr>
                    <w:autoSpaceDE w:val="0"/>
                    <w:autoSpaceDN w:val="0"/>
                    <w:jc w:val="center"/>
                    <w:rPr>
                      <w:rFonts w:hint="eastAsia"/>
                      <w:color w:val="auto"/>
                      <w:szCs w:val="21"/>
                      <w:lang w:bidi="zh-CN"/>
                    </w:rPr>
                  </w:pPr>
                  <w:r>
                    <w:rPr>
                      <w:szCs w:val="21"/>
                      <w:lang w:val="zh-CN" w:bidi="zh-CN"/>
                    </w:rPr>
                    <w:t>《合成树脂工业污染物排放标准》（GB31572—2015）</w:t>
                  </w:r>
                  <w:r>
                    <w:rPr>
                      <w:rFonts w:hint="eastAsia"/>
                      <w:szCs w:val="21"/>
                      <w:lang w:val="zh-CN" w:bidi="zh-CN"/>
                    </w:rPr>
                    <w:t>表</w:t>
                  </w:r>
                  <w:r>
                    <w:rPr>
                      <w:rFonts w:hint="eastAsia"/>
                      <w:szCs w:val="21"/>
                      <w:lang w:bidi="zh-CN"/>
                    </w:rPr>
                    <w:t>9</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477" w:type="pct"/>
                  <w:vAlign w:val="center"/>
                </w:tcPr>
                <w:p>
                  <w:pPr>
                    <w:autoSpaceDE w:val="0"/>
                    <w:autoSpaceDN w:val="0"/>
                    <w:jc w:val="center"/>
                    <w:rPr>
                      <w:rFonts w:hint="eastAsia"/>
                      <w:color w:val="auto"/>
                      <w:szCs w:val="21"/>
                      <w:lang w:bidi="zh-CN"/>
                    </w:rPr>
                  </w:pPr>
                  <w:r>
                    <w:rPr>
                      <w:rFonts w:hint="eastAsia"/>
                      <w:color w:val="auto"/>
                      <w:szCs w:val="21"/>
                      <w:lang w:bidi="zh-CN"/>
                    </w:rPr>
                    <w:t>颗粒物</w:t>
                  </w:r>
                </w:p>
              </w:tc>
              <w:tc>
                <w:tcPr>
                  <w:tcW w:w="1337" w:type="pct"/>
                  <w:vAlign w:val="center"/>
                </w:tcPr>
                <w:p>
                  <w:pPr>
                    <w:autoSpaceDE w:val="0"/>
                    <w:autoSpaceDN w:val="0"/>
                    <w:jc w:val="center"/>
                    <w:rPr>
                      <w:rFonts w:hint="default"/>
                      <w:color w:val="auto"/>
                      <w:szCs w:val="21"/>
                      <w:lang w:val="en-US" w:bidi="zh-CN"/>
                    </w:rPr>
                  </w:pPr>
                  <w:r>
                    <w:rPr>
                      <w:rFonts w:hint="eastAsia"/>
                      <w:color w:val="auto"/>
                      <w:szCs w:val="21"/>
                      <w:lang w:val="en-US" w:bidi="zh-CN"/>
                    </w:rPr>
                    <w:t>1.0</w:t>
                  </w:r>
                </w:p>
              </w:tc>
              <w:tc>
                <w:tcPr>
                  <w:tcW w:w="2185" w:type="pct"/>
                  <w:vAlign w:val="center"/>
                </w:tcPr>
                <w:p>
                  <w:pPr>
                    <w:autoSpaceDE w:val="0"/>
                    <w:autoSpaceDN w:val="0"/>
                    <w:jc w:val="center"/>
                    <w:rPr>
                      <w:szCs w:val="21"/>
                      <w:lang w:val="zh-CN" w:bidi="zh-CN"/>
                    </w:rPr>
                  </w:pPr>
                  <w:r>
                    <w:rPr>
                      <w:rFonts w:hint="eastAsia"/>
                      <w:szCs w:val="21"/>
                      <w:lang w:val="zh-CN" w:bidi="zh-CN"/>
                    </w:rPr>
                    <w:t>《大气污染物综合排放标准》（GB16297-1996）表2</w:t>
                  </w:r>
                </w:p>
              </w:tc>
            </w:tr>
          </w:tbl>
          <w:p>
            <w:pPr>
              <w:adjustRightInd w:val="0"/>
              <w:snapToGrid w:val="0"/>
              <w:spacing w:line="520" w:lineRule="exact"/>
              <w:rPr>
                <w:color w:val="auto"/>
              </w:rPr>
            </w:pPr>
            <w:r>
              <w:rPr>
                <w:b/>
                <w:bCs/>
                <w:color w:val="auto"/>
                <w:kern w:val="0"/>
                <w:sz w:val="28"/>
                <w:szCs w:val="28"/>
              </w:rPr>
              <w:t>2废水排放标准</w:t>
            </w:r>
          </w:p>
          <w:p>
            <w:pPr>
              <w:adjustRightInd w:val="0"/>
              <w:snapToGrid w:val="0"/>
              <w:spacing w:line="520" w:lineRule="exact"/>
              <w:ind w:firstLine="560" w:firstLineChars="200"/>
              <w:rPr>
                <w:color w:val="auto"/>
                <w:kern w:val="0"/>
                <w:sz w:val="28"/>
                <w:szCs w:val="28"/>
              </w:rPr>
            </w:pPr>
            <w:r>
              <w:rPr>
                <w:color w:val="auto"/>
                <w:kern w:val="0"/>
                <w:sz w:val="28"/>
                <w:szCs w:val="28"/>
              </w:rPr>
              <w:t>《</w:t>
            </w:r>
            <w:r>
              <w:rPr>
                <w:rFonts w:hint="eastAsia"/>
                <w:color w:val="auto"/>
                <w:kern w:val="0"/>
                <w:sz w:val="28"/>
                <w:szCs w:val="28"/>
                <w:lang w:eastAsia="zh-CN"/>
              </w:rPr>
              <w:t>污水综合排放标准</w:t>
            </w:r>
            <w:r>
              <w:rPr>
                <w:color w:val="auto"/>
                <w:kern w:val="0"/>
                <w:sz w:val="28"/>
                <w:szCs w:val="28"/>
              </w:rPr>
              <w:t>》（GB</w:t>
            </w:r>
            <w:r>
              <w:rPr>
                <w:rFonts w:hint="eastAsia"/>
                <w:color w:val="auto"/>
                <w:kern w:val="0"/>
                <w:sz w:val="28"/>
                <w:szCs w:val="28"/>
              </w:rPr>
              <w:t xml:space="preserve"> </w:t>
            </w:r>
            <w:r>
              <w:rPr>
                <w:rFonts w:hint="eastAsia"/>
                <w:color w:val="auto"/>
                <w:kern w:val="0"/>
                <w:sz w:val="28"/>
                <w:szCs w:val="28"/>
                <w:lang w:val="en-US" w:eastAsia="zh-CN"/>
              </w:rPr>
              <w:t>8978</w:t>
            </w:r>
            <w:r>
              <w:rPr>
                <w:color w:val="auto"/>
                <w:kern w:val="0"/>
                <w:sz w:val="28"/>
                <w:szCs w:val="28"/>
              </w:rPr>
              <w:t>—</w:t>
            </w:r>
            <w:r>
              <w:rPr>
                <w:rFonts w:hint="eastAsia"/>
                <w:color w:val="auto"/>
                <w:kern w:val="0"/>
                <w:sz w:val="28"/>
                <w:szCs w:val="28"/>
                <w:lang w:val="en-US" w:eastAsia="zh-CN"/>
              </w:rPr>
              <w:t>1996</w:t>
            </w:r>
            <w:r>
              <w:rPr>
                <w:color w:val="auto"/>
                <w:kern w:val="0"/>
                <w:sz w:val="28"/>
                <w:szCs w:val="28"/>
              </w:rPr>
              <w:t>）</w:t>
            </w:r>
            <w:r>
              <w:rPr>
                <w:rFonts w:hint="eastAsia"/>
                <w:color w:val="auto"/>
                <w:kern w:val="0"/>
                <w:sz w:val="28"/>
                <w:szCs w:val="28"/>
                <w:lang w:eastAsia="zh-CN"/>
              </w:rPr>
              <w:t>中</w:t>
            </w:r>
            <w:r>
              <w:rPr>
                <w:rFonts w:hint="eastAsia"/>
                <w:color w:val="auto"/>
                <w:kern w:val="0"/>
                <w:sz w:val="28"/>
                <w:szCs w:val="28"/>
                <w:lang w:val="en-US" w:eastAsia="zh-CN"/>
              </w:rPr>
              <w:t>三级</w:t>
            </w:r>
            <w:r>
              <w:rPr>
                <w:rFonts w:hint="eastAsia"/>
                <w:color w:val="auto"/>
                <w:kern w:val="0"/>
                <w:sz w:val="28"/>
                <w:szCs w:val="28"/>
              </w:rPr>
              <w:t>标准</w:t>
            </w:r>
            <w:r>
              <w:rPr>
                <w:color w:val="auto"/>
                <w:kern w:val="0"/>
                <w:sz w:val="28"/>
                <w:szCs w:val="28"/>
              </w:rPr>
              <w:t>。</w:t>
            </w:r>
          </w:p>
          <w:p>
            <w:pPr>
              <w:adjustRightInd w:val="0"/>
              <w:snapToGrid w:val="0"/>
              <w:spacing w:line="520" w:lineRule="exact"/>
              <w:rPr>
                <w:b/>
                <w:bCs/>
                <w:color w:val="auto"/>
                <w:kern w:val="0"/>
                <w:sz w:val="28"/>
                <w:szCs w:val="28"/>
              </w:rPr>
            </w:pPr>
            <w:r>
              <w:rPr>
                <w:b/>
                <w:bCs/>
                <w:color w:val="auto"/>
                <w:kern w:val="0"/>
                <w:sz w:val="28"/>
                <w:szCs w:val="28"/>
              </w:rPr>
              <w:t>3厂界噪声</w:t>
            </w:r>
          </w:p>
          <w:p>
            <w:pPr>
              <w:adjustRightInd w:val="0"/>
              <w:snapToGrid w:val="0"/>
              <w:spacing w:line="520" w:lineRule="exact"/>
              <w:ind w:firstLine="560" w:firstLineChars="200"/>
              <w:rPr>
                <w:color w:val="auto"/>
                <w:kern w:val="0"/>
                <w:sz w:val="28"/>
                <w:szCs w:val="28"/>
              </w:rPr>
            </w:pPr>
            <w:r>
              <w:rPr>
                <w:color w:val="auto"/>
                <w:kern w:val="0"/>
                <w:sz w:val="28"/>
                <w:szCs w:val="28"/>
              </w:rPr>
              <w:t>（1）《建筑施工场界环境噪声排放标准》（GB12523—2011）</w:t>
            </w:r>
          </w:p>
          <w:p>
            <w:pPr>
              <w:autoSpaceDE w:val="0"/>
              <w:autoSpaceDN w:val="0"/>
              <w:ind w:firstLine="480" w:firstLineChars="200"/>
              <w:rPr>
                <w:b/>
                <w:color w:val="auto"/>
                <w:sz w:val="6"/>
                <w:lang w:val="zh-CN" w:bidi="zh-CN"/>
              </w:rPr>
            </w:pPr>
            <w:r>
              <w:rPr>
                <w:rFonts w:eastAsia="黑体"/>
                <w:color w:val="auto"/>
                <w:sz w:val="24"/>
                <w:lang w:val="zh-CN" w:bidi="zh-CN"/>
              </w:rPr>
              <w:t>表</w:t>
            </w:r>
            <w:r>
              <w:rPr>
                <w:rFonts w:hint="eastAsia" w:eastAsia="黑体"/>
                <w:color w:val="auto"/>
                <w:sz w:val="24"/>
                <w:lang w:bidi="zh-CN"/>
              </w:rPr>
              <w:t>13</w:t>
            </w:r>
            <w:r>
              <w:rPr>
                <w:rFonts w:eastAsia="黑体"/>
                <w:color w:val="auto"/>
                <w:sz w:val="24"/>
                <w:lang w:bidi="zh-CN"/>
              </w:rPr>
              <w:t xml:space="preserve">  </w:t>
            </w:r>
            <w:r>
              <w:rPr>
                <w:rFonts w:eastAsia="黑体"/>
                <w:color w:val="auto"/>
                <w:sz w:val="24"/>
                <w:lang w:val="zh-CN" w:bidi="zh-CN"/>
              </w:rPr>
              <w:t xml:space="preserve"> </w:t>
            </w:r>
            <w:r>
              <w:rPr>
                <w:rFonts w:eastAsia="黑体"/>
                <w:color w:val="auto"/>
                <w:sz w:val="24"/>
                <w:lang w:bidi="zh-CN"/>
              </w:rPr>
              <w:t xml:space="preserve">        </w:t>
            </w:r>
            <w:r>
              <w:rPr>
                <w:rFonts w:eastAsia="黑体"/>
                <w:color w:val="auto"/>
                <w:sz w:val="24"/>
                <w:lang w:val="zh-CN" w:bidi="zh-CN"/>
              </w:rPr>
              <w:t>噪声排放标准</w:t>
            </w:r>
            <w:r>
              <w:rPr>
                <w:rFonts w:eastAsia="黑体"/>
                <w:color w:val="auto"/>
                <w:sz w:val="24"/>
                <w:lang w:bidi="zh-CN"/>
              </w:rPr>
              <w:t xml:space="preserve">          </w:t>
            </w:r>
            <w:r>
              <w:rPr>
                <w:rFonts w:eastAsia="黑体"/>
                <w:color w:val="auto"/>
                <w:sz w:val="24"/>
                <w:lang w:val="zh-CN" w:bidi="zh-CN"/>
              </w:rPr>
              <w:t>单位：dB（A）</w:t>
            </w:r>
          </w:p>
          <w:tbl>
            <w:tblPr>
              <w:tblStyle w:val="18"/>
              <w:tblW w:w="4999"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1170"/>
              <w:gridCol w:w="4309"/>
              <w:gridCol w:w="1184"/>
              <w:gridCol w:w="1195"/>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75" w:hRule="atLeast"/>
                <w:jc w:val="center"/>
              </w:trPr>
              <w:tc>
                <w:tcPr>
                  <w:tcW w:w="1170" w:type="dxa"/>
                  <w:vMerge w:val="restart"/>
                  <w:vAlign w:val="center"/>
                </w:tcPr>
                <w:p>
                  <w:pPr>
                    <w:autoSpaceDE w:val="0"/>
                    <w:autoSpaceDN w:val="0"/>
                    <w:jc w:val="center"/>
                    <w:rPr>
                      <w:bCs/>
                      <w:color w:val="auto"/>
                      <w:szCs w:val="21"/>
                      <w:lang w:val="zh-CN" w:bidi="zh-CN"/>
                    </w:rPr>
                  </w:pPr>
                  <w:r>
                    <w:rPr>
                      <w:bCs/>
                      <w:color w:val="auto"/>
                      <w:szCs w:val="21"/>
                      <w:lang w:val="zh-CN" w:bidi="zh-CN"/>
                    </w:rPr>
                    <w:t>噪声类型</w:t>
                  </w:r>
                </w:p>
              </w:tc>
              <w:tc>
                <w:tcPr>
                  <w:tcW w:w="4309" w:type="dxa"/>
                  <w:vMerge w:val="restart"/>
                  <w:vAlign w:val="center"/>
                </w:tcPr>
                <w:p>
                  <w:pPr>
                    <w:autoSpaceDE w:val="0"/>
                    <w:autoSpaceDN w:val="0"/>
                    <w:jc w:val="center"/>
                    <w:rPr>
                      <w:bCs/>
                      <w:color w:val="auto"/>
                      <w:szCs w:val="21"/>
                      <w:lang w:val="zh-CN" w:bidi="zh-CN"/>
                    </w:rPr>
                  </w:pPr>
                  <w:r>
                    <w:rPr>
                      <w:bCs/>
                      <w:color w:val="auto"/>
                      <w:szCs w:val="21"/>
                      <w:lang w:val="zh-CN" w:bidi="zh-CN"/>
                    </w:rPr>
                    <w:t>执行的标准与级别</w:t>
                  </w:r>
                </w:p>
              </w:tc>
              <w:tc>
                <w:tcPr>
                  <w:tcW w:w="2379" w:type="dxa"/>
                  <w:gridSpan w:val="2"/>
                  <w:vAlign w:val="center"/>
                </w:tcPr>
                <w:p>
                  <w:pPr>
                    <w:autoSpaceDE w:val="0"/>
                    <w:autoSpaceDN w:val="0"/>
                    <w:jc w:val="center"/>
                    <w:rPr>
                      <w:bCs/>
                      <w:color w:val="auto"/>
                      <w:szCs w:val="21"/>
                      <w:lang w:val="zh-CN" w:bidi="zh-CN"/>
                    </w:rPr>
                  </w:pPr>
                  <w:r>
                    <w:rPr>
                      <w:bCs/>
                      <w:color w:val="auto"/>
                      <w:szCs w:val="21"/>
                      <w:lang w:val="zh-CN" w:bidi="zh-CN"/>
                    </w:rPr>
                    <w:t>标准值</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75" w:hRule="atLeast"/>
                <w:jc w:val="center"/>
              </w:trPr>
              <w:tc>
                <w:tcPr>
                  <w:tcW w:w="1170" w:type="dxa"/>
                  <w:vMerge w:val="continue"/>
                  <w:vAlign w:val="center"/>
                </w:tcPr>
                <w:p>
                  <w:pPr>
                    <w:autoSpaceDE w:val="0"/>
                    <w:autoSpaceDN w:val="0"/>
                    <w:jc w:val="center"/>
                    <w:rPr>
                      <w:bCs/>
                      <w:color w:val="auto"/>
                      <w:kern w:val="0"/>
                      <w:szCs w:val="21"/>
                      <w:lang w:val="zh-CN" w:bidi="zh-CN"/>
                    </w:rPr>
                  </w:pPr>
                </w:p>
              </w:tc>
              <w:tc>
                <w:tcPr>
                  <w:tcW w:w="4309" w:type="dxa"/>
                  <w:vMerge w:val="continue"/>
                  <w:vAlign w:val="center"/>
                </w:tcPr>
                <w:p>
                  <w:pPr>
                    <w:autoSpaceDE w:val="0"/>
                    <w:autoSpaceDN w:val="0"/>
                    <w:jc w:val="center"/>
                    <w:rPr>
                      <w:bCs/>
                      <w:color w:val="auto"/>
                      <w:kern w:val="0"/>
                      <w:szCs w:val="21"/>
                      <w:lang w:val="zh-CN" w:bidi="zh-CN"/>
                    </w:rPr>
                  </w:pPr>
                </w:p>
              </w:tc>
              <w:tc>
                <w:tcPr>
                  <w:tcW w:w="1184" w:type="dxa"/>
                  <w:vAlign w:val="center"/>
                </w:tcPr>
                <w:p>
                  <w:pPr>
                    <w:autoSpaceDE w:val="0"/>
                    <w:autoSpaceDN w:val="0"/>
                    <w:jc w:val="center"/>
                    <w:rPr>
                      <w:bCs/>
                      <w:color w:val="auto"/>
                      <w:szCs w:val="21"/>
                      <w:lang w:val="zh-CN" w:bidi="zh-CN"/>
                    </w:rPr>
                  </w:pPr>
                  <w:r>
                    <w:rPr>
                      <w:bCs/>
                      <w:color w:val="auto"/>
                      <w:szCs w:val="21"/>
                      <w:lang w:val="zh-CN" w:bidi="zh-CN"/>
                    </w:rPr>
                    <w:t>昼间</w:t>
                  </w:r>
                </w:p>
              </w:tc>
              <w:tc>
                <w:tcPr>
                  <w:tcW w:w="1195" w:type="dxa"/>
                  <w:vAlign w:val="center"/>
                </w:tcPr>
                <w:p>
                  <w:pPr>
                    <w:autoSpaceDE w:val="0"/>
                    <w:autoSpaceDN w:val="0"/>
                    <w:jc w:val="center"/>
                    <w:rPr>
                      <w:bCs/>
                      <w:color w:val="auto"/>
                      <w:szCs w:val="21"/>
                      <w:lang w:val="zh-CN" w:bidi="zh-CN"/>
                    </w:rPr>
                  </w:pPr>
                  <w:r>
                    <w:rPr>
                      <w:bCs/>
                      <w:color w:val="auto"/>
                      <w:szCs w:val="21"/>
                      <w:lang w:val="zh-CN" w:bidi="zh-CN"/>
                    </w:rPr>
                    <w:t>夜间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545" w:hRule="atLeast"/>
                <w:jc w:val="center"/>
              </w:trPr>
              <w:tc>
                <w:tcPr>
                  <w:tcW w:w="1170" w:type="dxa"/>
                  <w:vAlign w:val="center"/>
                </w:tcPr>
                <w:p>
                  <w:pPr>
                    <w:autoSpaceDE w:val="0"/>
                    <w:autoSpaceDN w:val="0"/>
                    <w:jc w:val="center"/>
                    <w:rPr>
                      <w:bCs/>
                      <w:color w:val="auto"/>
                      <w:szCs w:val="21"/>
                      <w:lang w:val="zh-CN" w:bidi="zh-CN"/>
                    </w:rPr>
                  </w:pPr>
                  <w:r>
                    <w:rPr>
                      <w:bCs/>
                      <w:color w:val="auto"/>
                      <w:szCs w:val="21"/>
                      <w:lang w:val="zh-CN" w:bidi="zh-CN"/>
                    </w:rPr>
                    <w:t>厂界噪声</w:t>
                  </w:r>
                </w:p>
              </w:tc>
              <w:tc>
                <w:tcPr>
                  <w:tcW w:w="4309" w:type="dxa"/>
                  <w:vAlign w:val="center"/>
                </w:tcPr>
                <w:p>
                  <w:pPr>
                    <w:autoSpaceDE w:val="0"/>
                    <w:autoSpaceDN w:val="0"/>
                    <w:jc w:val="center"/>
                    <w:rPr>
                      <w:bCs/>
                      <w:color w:val="auto"/>
                      <w:szCs w:val="21"/>
                      <w:lang w:val="zh-CN" w:bidi="zh-CN"/>
                    </w:rPr>
                  </w:pPr>
                  <w:r>
                    <w:rPr>
                      <w:bCs/>
                      <w:color w:val="auto"/>
                      <w:szCs w:val="21"/>
                      <w:lang w:val="zh-CN" w:bidi="zh-CN"/>
                    </w:rPr>
                    <w:t>《建筑施工场界环境噪声排放标准》</w:t>
                  </w:r>
                </w:p>
                <w:p>
                  <w:pPr>
                    <w:autoSpaceDE w:val="0"/>
                    <w:autoSpaceDN w:val="0"/>
                    <w:jc w:val="center"/>
                    <w:rPr>
                      <w:bCs/>
                      <w:color w:val="auto"/>
                      <w:szCs w:val="21"/>
                      <w:lang w:val="zh-CN" w:bidi="zh-CN"/>
                    </w:rPr>
                  </w:pPr>
                  <w:r>
                    <w:rPr>
                      <w:bCs/>
                      <w:color w:val="auto"/>
                      <w:szCs w:val="21"/>
                      <w:lang w:val="zh-CN" w:bidi="zh-CN"/>
                    </w:rPr>
                    <w:t>（GB12523-2011）</w:t>
                  </w:r>
                </w:p>
              </w:tc>
              <w:tc>
                <w:tcPr>
                  <w:tcW w:w="1184" w:type="dxa"/>
                  <w:vAlign w:val="center"/>
                </w:tcPr>
                <w:p>
                  <w:pPr>
                    <w:autoSpaceDE w:val="0"/>
                    <w:autoSpaceDN w:val="0"/>
                    <w:jc w:val="center"/>
                    <w:rPr>
                      <w:bCs/>
                      <w:color w:val="auto"/>
                      <w:szCs w:val="21"/>
                      <w:lang w:val="zh-CN" w:bidi="zh-CN"/>
                    </w:rPr>
                  </w:pPr>
                  <w:r>
                    <w:rPr>
                      <w:bCs/>
                      <w:color w:val="auto"/>
                      <w:szCs w:val="21"/>
                      <w:lang w:val="zh-CN" w:bidi="zh-CN"/>
                    </w:rPr>
                    <w:t>70</w:t>
                  </w:r>
                </w:p>
              </w:tc>
              <w:tc>
                <w:tcPr>
                  <w:tcW w:w="1195" w:type="dxa"/>
                  <w:vAlign w:val="center"/>
                </w:tcPr>
                <w:p>
                  <w:pPr>
                    <w:autoSpaceDE w:val="0"/>
                    <w:autoSpaceDN w:val="0"/>
                    <w:jc w:val="center"/>
                    <w:rPr>
                      <w:bCs/>
                      <w:color w:val="auto"/>
                      <w:szCs w:val="21"/>
                      <w:lang w:val="zh-CN" w:bidi="zh-CN"/>
                    </w:rPr>
                  </w:pPr>
                  <w:r>
                    <w:rPr>
                      <w:bCs/>
                      <w:color w:val="auto"/>
                      <w:szCs w:val="21"/>
                      <w:lang w:val="zh-CN" w:bidi="zh-CN"/>
                    </w:rPr>
                    <w:t>55</w:t>
                  </w:r>
                </w:p>
              </w:tc>
            </w:tr>
          </w:tbl>
          <w:p>
            <w:pPr>
              <w:adjustRightInd w:val="0"/>
              <w:snapToGrid w:val="0"/>
              <w:spacing w:line="520" w:lineRule="exact"/>
              <w:ind w:firstLine="560" w:firstLineChars="200"/>
              <w:rPr>
                <w:rFonts w:eastAsia="黑体"/>
                <w:color w:val="0000E1"/>
                <w:sz w:val="24"/>
                <w:lang w:val="zh-CN" w:bidi="zh-CN"/>
              </w:rPr>
            </w:pPr>
            <w:r>
              <w:rPr>
                <w:color w:val="0000E1"/>
                <w:kern w:val="0"/>
                <w:sz w:val="28"/>
                <w:szCs w:val="28"/>
              </w:rPr>
              <w:t>（2）</w:t>
            </w:r>
            <w:r>
              <w:rPr>
                <w:rFonts w:hint="eastAsia"/>
                <w:color w:val="0000E1"/>
                <w:kern w:val="0"/>
                <w:sz w:val="28"/>
                <w:szCs w:val="28"/>
                <w:lang w:eastAsia="zh-CN"/>
              </w:rPr>
              <w:t>根据《巩留县声环境功能区划分方案》（巩政函〔2021〕28号），本项目位于</w:t>
            </w:r>
            <w:r>
              <w:rPr>
                <w:rFonts w:hint="eastAsia"/>
                <w:color w:val="0000E1"/>
                <w:kern w:val="0"/>
                <w:sz w:val="28"/>
                <w:szCs w:val="28"/>
                <w:lang w:val="en-US" w:eastAsia="zh-CN"/>
              </w:rPr>
              <w:t>3类声环境功能区，噪声执行</w:t>
            </w:r>
            <w:r>
              <w:rPr>
                <w:color w:val="0000E1"/>
                <w:kern w:val="0"/>
                <w:sz w:val="28"/>
                <w:szCs w:val="28"/>
              </w:rPr>
              <w:t>《工业企业厂界环境噪声排放标准》（GB12348—2008）</w:t>
            </w:r>
            <w:r>
              <w:rPr>
                <w:rFonts w:hint="eastAsia"/>
                <w:color w:val="0000E1"/>
                <w:kern w:val="0"/>
                <w:sz w:val="28"/>
                <w:szCs w:val="28"/>
              </w:rPr>
              <w:t>3</w:t>
            </w:r>
            <w:r>
              <w:rPr>
                <w:color w:val="0000E1"/>
                <w:kern w:val="0"/>
                <w:sz w:val="28"/>
                <w:szCs w:val="28"/>
                <w:lang w:val="zh-CN"/>
              </w:rPr>
              <w:t>类声环境功能区噪声限值。</w:t>
            </w:r>
          </w:p>
          <w:p>
            <w:pPr>
              <w:autoSpaceDE w:val="0"/>
              <w:autoSpaceDN w:val="0"/>
              <w:ind w:firstLine="480" w:firstLineChars="200"/>
              <w:rPr>
                <w:b/>
                <w:color w:val="auto"/>
                <w:sz w:val="6"/>
                <w:lang w:val="zh-CN" w:bidi="zh-CN"/>
              </w:rPr>
            </w:pPr>
            <w:r>
              <w:rPr>
                <w:rFonts w:eastAsia="黑体"/>
                <w:color w:val="auto"/>
                <w:sz w:val="24"/>
                <w:lang w:val="zh-CN" w:bidi="zh-CN"/>
              </w:rPr>
              <w:t>表</w:t>
            </w:r>
            <w:r>
              <w:rPr>
                <w:rFonts w:hint="eastAsia" w:eastAsia="黑体"/>
                <w:color w:val="auto"/>
                <w:sz w:val="24"/>
                <w:lang w:bidi="zh-CN"/>
              </w:rPr>
              <w:t>14</w:t>
            </w:r>
            <w:r>
              <w:rPr>
                <w:rFonts w:eastAsia="黑体"/>
                <w:color w:val="auto"/>
                <w:sz w:val="24"/>
                <w:lang w:bidi="zh-CN"/>
              </w:rPr>
              <w:t xml:space="preserve">   </w:t>
            </w:r>
            <w:r>
              <w:rPr>
                <w:rFonts w:eastAsia="黑体"/>
                <w:color w:val="auto"/>
                <w:sz w:val="24"/>
                <w:lang w:val="zh-CN" w:bidi="zh-CN"/>
              </w:rPr>
              <w:t xml:space="preserve"> </w:t>
            </w:r>
            <w:r>
              <w:rPr>
                <w:rFonts w:eastAsia="黑体"/>
                <w:color w:val="auto"/>
                <w:sz w:val="24"/>
                <w:lang w:bidi="zh-CN"/>
              </w:rPr>
              <w:t xml:space="preserve">        </w:t>
            </w:r>
            <w:r>
              <w:rPr>
                <w:rFonts w:eastAsia="黑体"/>
                <w:color w:val="auto"/>
                <w:sz w:val="24"/>
                <w:lang w:val="zh-CN" w:bidi="zh-CN"/>
              </w:rPr>
              <w:t>噪声排放标准</w:t>
            </w:r>
            <w:r>
              <w:rPr>
                <w:rFonts w:eastAsia="黑体"/>
                <w:color w:val="auto"/>
                <w:sz w:val="24"/>
                <w:lang w:bidi="zh-CN"/>
              </w:rPr>
              <w:t xml:space="preserve">          </w:t>
            </w:r>
            <w:r>
              <w:rPr>
                <w:rFonts w:eastAsia="黑体"/>
                <w:color w:val="auto"/>
                <w:sz w:val="24"/>
                <w:lang w:val="zh-CN" w:bidi="zh-CN"/>
              </w:rPr>
              <w:t>单位：dB（A）</w:t>
            </w:r>
          </w:p>
          <w:tbl>
            <w:tblPr>
              <w:tblStyle w:val="18"/>
              <w:tblW w:w="4998"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autofit"/>
              <w:tblCellMar>
                <w:top w:w="0" w:type="dxa"/>
                <w:left w:w="0" w:type="dxa"/>
                <w:bottom w:w="0" w:type="dxa"/>
                <w:right w:w="0" w:type="dxa"/>
              </w:tblCellMar>
            </w:tblPr>
            <w:tblGrid>
              <w:gridCol w:w="982"/>
              <w:gridCol w:w="1275"/>
              <w:gridCol w:w="3609"/>
              <w:gridCol w:w="993"/>
              <w:gridCol w:w="998"/>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982" w:type="dxa"/>
                  <w:vMerge w:val="restart"/>
                  <w:vAlign w:val="center"/>
                </w:tcPr>
                <w:p>
                  <w:pPr>
                    <w:autoSpaceDE w:val="0"/>
                    <w:autoSpaceDN w:val="0"/>
                    <w:jc w:val="center"/>
                    <w:rPr>
                      <w:bCs/>
                      <w:color w:val="auto"/>
                      <w:szCs w:val="21"/>
                      <w:lang w:val="zh-CN" w:bidi="zh-CN"/>
                    </w:rPr>
                  </w:pPr>
                  <w:r>
                    <w:rPr>
                      <w:bCs/>
                      <w:color w:val="auto"/>
                      <w:szCs w:val="21"/>
                      <w:lang w:val="zh-CN" w:bidi="zh-CN"/>
                    </w:rPr>
                    <w:t>噪声类型</w:t>
                  </w:r>
                </w:p>
              </w:tc>
              <w:tc>
                <w:tcPr>
                  <w:tcW w:w="1275" w:type="dxa"/>
                  <w:vMerge w:val="restart"/>
                  <w:vAlign w:val="center"/>
                </w:tcPr>
                <w:p>
                  <w:pPr>
                    <w:autoSpaceDE w:val="0"/>
                    <w:autoSpaceDN w:val="0"/>
                    <w:jc w:val="center"/>
                    <w:rPr>
                      <w:bCs/>
                      <w:color w:val="auto"/>
                      <w:szCs w:val="21"/>
                      <w:lang w:val="zh-CN" w:bidi="zh-CN"/>
                    </w:rPr>
                  </w:pPr>
                  <w:r>
                    <w:rPr>
                      <w:bCs/>
                      <w:color w:val="auto"/>
                      <w:szCs w:val="21"/>
                      <w:lang w:val="zh-CN" w:bidi="zh-CN"/>
                    </w:rPr>
                    <w:t>功能区类型</w:t>
                  </w:r>
                </w:p>
              </w:tc>
              <w:tc>
                <w:tcPr>
                  <w:tcW w:w="3609" w:type="dxa"/>
                  <w:vMerge w:val="restart"/>
                  <w:vAlign w:val="center"/>
                </w:tcPr>
                <w:p>
                  <w:pPr>
                    <w:autoSpaceDE w:val="0"/>
                    <w:autoSpaceDN w:val="0"/>
                    <w:jc w:val="center"/>
                    <w:rPr>
                      <w:bCs/>
                      <w:color w:val="auto"/>
                      <w:szCs w:val="21"/>
                      <w:lang w:val="zh-CN" w:bidi="zh-CN"/>
                    </w:rPr>
                  </w:pPr>
                  <w:r>
                    <w:rPr>
                      <w:bCs/>
                      <w:color w:val="auto"/>
                      <w:szCs w:val="21"/>
                      <w:lang w:val="zh-CN" w:bidi="zh-CN"/>
                    </w:rPr>
                    <w:t>执行的标准与级别</w:t>
                  </w:r>
                </w:p>
              </w:tc>
              <w:tc>
                <w:tcPr>
                  <w:tcW w:w="1991" w:type="dxa"/>
                  <w:gridSpan w:val="2"/>
                  <w:vAlign w:val="center"/>
                </w:tcPr>
                <w:p>
                  <w:pPr>
                    <w:autoSpaceDE w:val="0"/>
                    <w:autoSpaceDN w:val="0"/>
                    <w:jc w:val="center"/>
                    <w:rPr>
                      <w:bCs/>
                      <w:color w:val="auto"/>
                      <w:szCs w:val="21"/>
                      <w:lang w:val="zh-CN" w:bidi="zh-CN"/>
                    </w:rPr>
                  </w:pPr>
                  <w:r>
                    <w:rPr>
                      <w:bCs/>
                      <w:color w:val="auto"/>
                      <w:szCs w:val="21"/>
                      <w:lang w:val="zh-CN" w:bidi="zh-CN"/>
                    </w:rPr>
                    <w:t>标准值</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90" w:hRule="atLeast"/>
                <w:jc w:val="center"/>
              </w:trPr>
              <w:tc>
                <w:tcPr>
                  <w:tcW w:w="982" w:type="dxa"/>
                  <w:vMerge w:val="continue"/>
                  <w:vAlign w:val="center"/>
                </w:tcPr>
                <w:p>
                  <w:pPr>
                    <w:autoSpaceDE w:val="0"/>
                    <w:autoSpaceDN w:val="0"/>
                    <w:jc w:val="center"/>
                    <w:rPr>
                      <w:bCs/>
                      <w:color w:val="auto"/>
                      <w:kern w:val="0"/>
                      <w:szCs w:val="21"/>
                      <w:lang w:val="zh-CN" w:bidi="zh-CN"/>
                    </w:rPr>
                  </w:pPr>
                </w:p>
              </w:tc>
              <w:tc>
                <w:tcPr>
                  <w:tcW w:w="1275" w:type="dxa"/>
                  <w:vMerge w:val="continue"/>
                  <w:vAlign w:val="center"/>
                </w:tcPr>
                <w:p>
                  <w:pPr>
                    <w:autoSpaceDE w:val="0"/>
                    <w:autoSpaceDN w:val="0"/>
                    <w:jc w:val="center"/>
                    <w:rPr>
                      <w:bCs/>
                      <w:color w:val="auto"/>
                      <w:kern w:val="0"/>
                      <w:szCs w:val="21"/>
                      <w:lang w:val="zh-CN" w:bidi="zh-CN"/>
                    </w:rPr>
                  </w:pPr>
                </w:p>
              </w:tc>
              <w:tc>
                <w:tcPr>
                  <w:tcW w:w="3609" w:type="dxa"/>
                  <w:vMerge w:val="continue"/>
                  <w:vAlign w:val="center"/>
                </w:tcPr>
                <w:p>
                  <w:pPr>
                    <w:autoSpaceDE w:val="0"/>
                    <w:autoSpaceDN w:val="0"/>
                    <w:jc w:val="center"/>
                    <w:rPr>
                      <w:bCs/>
                      <w:color w:val="auto"/>
                      <w:kern w:val="0"/>
                      <w:szCs w:val="21"/>
                      <w:lang w:val="zh-CN" w:bidi="zh-CN"/>
                    </w:rPr>
                  </w:pPr>
                </w:p>
              </w:tc>
              <w:tc>
                <w:tcPr>
                  <w:tcW w:w="993" w:type="dxa"/>
                  <w:vAlign w:val="center"/>
                </w:tcPr>
                <w:p>
                  <w:pPr>
                    <w:autoSpaceDE w:val="0"/>
                    <w:autoSpaceDN w:val="0"/>
                    <w:jc w:val="center"/>
                    <w:rPr>
                      <w:bCs/>
                      <w:color w:val="auto"/>
                      <w:szCs w:val="21"/>
                      <w:lang w:val="zh-CN" w:bidi="zh-CN"/>
                    </w:rPr>
                  </w:pPr>
                  <w:r>
                    <w:rPr>
                      <w:bCs/>
                      <w:color w:val="auto"/>
                      <w:szCs w:val="21"/>
                      <w:lang w:val="zh-CN" w:bidi="zh-CN"/>
                    </w:rPr>
                    <w:t>昼间</w:t>
                  </w:r>
                </w:p>
              </w:tc>
              <w:tc>
                <w:tcPr>
                  <w:tcW w:w="998" w:type="dxa"/>
                  <w:vAlign w:val="center"/>
                </w:tcPr>
                <w:p>
                  <w:pPr>
                    <w:autoSpaceDE w:val="0"/>
                    <w:autoSpaceDN w:val="0"/>
                    <w:jc w:val="center"/>
                    <w:rPr>
                      <w:bCs/>
                      <w:color w:val="auto"/>
                      <w:szCs w:val="21"/>
                      <w:lang w:val="zh-CN" w:bidi="zh-CN"/>
                    </w:rPr>
                  </w:pPr>
                  <w:r>
                    <w:rPr>
                      <w:bCs/>
                      <w:color w:val="auto"/>
                      <w:szCs w:val="21"/>
                      <w:lang w:val="zh-CN" w:bidi="zh-CN"/>
                    </w:rPr>
                    <w:t>夜间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515" w:hRule="atLeast"/>
                <w:jc w:val="center"/>
              </w:trPr>
              <w:tc>
                <w:tcPr>
                  <w:tcW w:w="982" w:type="dxa"/>
                  <w:vAlign w:val="center"/>
                </w:tcPr>
                <w:p>
                  <w:pPr>
                    <w:autoSpaceDE w:val="0"/>
                    <w:autoSpaceDN w:val="0"/>
                    <w:jc w:val="center"/>
                    <w:rPr>
                      <w:bCs/>
                      <w:color w:val="auto"/>
                      <w:szCs w:val="21"/>
                      <w:lang w:val="zh-CN" w:bidi="zh-CN"/>
                    </w:rPr>
                  </w:pPr>
                  <w:r>
                    <w:rPr>
                      <w:bCs/>
                      <w:color w:val="auto"/>
                      <w:szCs w:val="21"/>
                      <w:lang w:val="zh-CN" w:bidi="zh-CN"/>
                    </w:rPr>
                    <w:t>厂界噪声</w:t>
                  </w:r>
                </w:p>
              </w:tc>
              <w:tc>
                <w:tcPr>
                  <w:tcW w:w="1275" w:type="dxa"/>
                  <w:vAlign w:val="center"/>
                </w:tcPr>
                <w:p>
                  <w:pPr>
                    <w:autoSpaceDE w:val="0"/>
                    <w:autoSpaceDN w:val="0"/>
                    <w:jc w:val="center"/>
                    <w:rPr>
                      <w:bCs/>
                      <w:color w:val="auto"/>
                      <w:szCs w:val="21"/>
                      <w:lang w:val="zh-CN" w:bidi="zh-CN"/>
                    </w:rPr>
                  </w:pPr>
                  <w:r>
                    <w:rPr>
                      <w:rFonts w:hint="eastAsia"/>
                      <w:bCs/>
                      <w:color w:val="auto"/>
                      <w:szCs w:val="21"/>
                      <w:lang w:bidi="zh-CN"/>
                    </w:rPr>
                    <w:t>3</w:t>
                  </w:r>
                  <w:r>
                    <w:rPr>
                      <w:bCs/>
                      <w:color w:val="auto"/>
                      <w:szCs w:val="21"/>
                      <w:lang w:bidi="zh-CN"/>
                    </w:rPr>
                    <w:t>类</w:t>
                  </w:r>
                </w:p>
              </w:tc>
              <w:tc>
                <w:tcPr>
                  <w:tcW w:w="3609" w:type="dxa"/>
                  <w:vAlign w:val="center"/>
                </w:tcPr>
                <w:p>
                  <w:pPr>
                    <w:autoSpaceDE w:val="0"/>
                    <w:autoSpaceDN w:val="0"/>
                    <w:jc w:val="center"/>
                    <w:rPr>
                      <w:bCs/>
                      <w:color w:val="auto"/>
                      <w:szCs w:val="21"/>
                      <w:lang w:val="zh-CN" w:bidi="zh-CN"/>
                    </w:rPr>
                  </w:pPr>
                  <w:r>
                    <w:rPr>
                      <w:bCs/>
                      <w:color w:val="auto"/>
                      <w:szCs w:val="21"/>
                      <w:lang w:val="zh-CN" w:bidi="zh-CN"/>
                    </w:rPr>
                    <w:t>《工业企业厂界环境噪声排放标准》</w:t>
                  </w:r>
                </w:p>
                <w:p>
                  <w:pPr>
                    <w:autoSpaceDE w:val="0"/>
                    <w:autoSpaceDN w:val="0"/>
                    <w:jc w:val="center"/>
                    <w:rPr>
                      <w:bCs/>
                      <w:color w:val="auto"/>
                      <w:szCs w:val="21"/>
                      <w:lang w:val="zh-CN" w:bidi="zh-CN"/>
                    </w:rPr>
                  </w:pPr>
                  <w:r>
                    <w:rPr>
                      <w:bCs/>
                      <w:color w:val="auto"/>
                      <w:szCs w:val="21"/>
                      <w:lang w:val="zh-CN" w:bidi="zh-CN"/>
                    </w:rPr>
                    <w:t>（GB12348-2008）中</w:t>
                  </w:r>
                  <w:r>
                    <w:rPr>
                      <w:rFonts w:hint="eastAsia"/>
                      <w:bCs/>
                      <w:color w:val="auto"/>
                      <w:szCs w:val="21"/>
                      <w:lang w:bidi="zh-CN"/>
                    </w:rPr>
                    <w:t>3</w:t>
                  </w:r>
                  <w:r>
                    <w:rPr>
                      <w:bCs/>
                      <w:color w:val="auto"/>
                      <w:szCs w:val="21"/>
                      <w:lang w:val="zh-CN" w:bidi="zh-CN"/>
                    </w:rPr>
                    <w:t>类标准</w:t>
                  </w:r>
                </w:p>
              </w:tc>
              <w:tc>
                <w:tcPr>
                  <w:tcW w:w="993" w:type="dxa"/>
                  <w:vAlign w:val="center"/>
                </w:tcPr>
                <w:p>
                  <w:pPr>
                    <w:autoSpaceDE w:val="0"/>
                    <w:autoSpaceDN w:val="0"/>
                    <w:jc w:val="center"/>
                    <w:rPr>
                      <w:bCs/>
                      <w:color w:val="auto"/>
                      <w:szCs w:val="21"/>
                      <w:lang w:bidi="zh-CN"/>
                    </w:rPr>
                  </w:pPr>
                  <w:r>
                    <w:rPr>
                      <w:rFonts w:hint="eastAsia"/>
                      <w:bCs/>
                      <w:color w:val="auto"/>
                      <w:szCs w:val="21"/>
                      <w:lang w:bidi="zh-CN"/>
                    </w:rPr>
                    <w:t>65</w:t>
                  </w:r>
                </w:p>
              </w:tc>
              <w:tc>
                <w:tcPr>
                  <w:tcW w:w="998" w:type="dxa"/>
                  <w:vAlign w:val="center"/>
                </w:tcPr>
                <w:p>
                  <w:pPr>
                    <w:autoSpaceDE w:val="0"/>
                    <w:autoSpaceDN w:val="0"/>
                    <w:jc w:val="center"/>
                    <w:rPr>
                      <w:bCs/>
                      <w:color w:val="auto"/>
                      <w:szCs w:val="21"/>
                      <w:lang w:val="zh-CN" w:bidi="zh-CN"/>
                    </w:rPr>
                  </w:pPr>
                  <w:r>
                    <w:rPr>
                      <w:bCs/>
                      <w:color w:val="auto"/>
                      <w:szCs w:val="21"/>
                      <w:lang w:val="zh-CN" w:bidi="zh-CN"/>
                    </w:rPr>
                    <w:t>5</w:t>
                  </w:r>
                  <w:r>
                    <w:rPr>
                      <w:rFonts w:hint="eastAsia"/>
                      <w:bCs/>
                      <w:color w:val="auto"/>
                      <w:szCs w:val="21"/>
                      <w:lang w:bidi="zh-CN"/>
                    </w:rPr>
                    <w:t>5</w:t>
                  </w:r>
                </w:p>
              </w:tc>
            </w:tr>
          </w:tbl>
          <w:p>
            <w:pPr>
              <w:adjustRightInd w:val="0"/>
              <w:snapToGrid w:val="0"/>
              <w:spacing w:line="520" w:lineRule="exact"/>
              <w:rPr>
                <w:b/>
                <w:bCs/>
                <w:color w:val="auto"/>
                <w:kern w:val="0"/>
                <w:sz w:val="28"/>
                <w:szCs w:val="28"/>
              </w:rPr>
            </w:pPr>
            <w:r>
              <w:rPr>
                <w:b/>
                <w:bCs/>
                <w:color w:val="auto"/>
                <w:kern w:val="0"/>
                <w:sz w:val="28"/>
                <w:szCs w:val="28"/>
              </w:rPr>
              <w:t>4固体废物</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rFonts w:hint="eastAsia" w:eastAsia="宋体"/>
                <w:color w:val="auto"/>
                <w:kern w:val="0"/>
                <w:sz w:val="28"/>
                <w:szCs w:val="28"/>
                <w:lang w:eastAsia="zh-CN"/>
              </w:rPr>
            </w:pPr>
            <w:r>
              <w:rPr>
                <w:rFonts w:hint="eastAsia"/>
                <w:color w:val="auto"/>
                <w:kern w:val="0"/>
                <w:sz w:val="28"/>
                <w:szCs w:val="28"/>
                <w:lang w:eastAsia="zh-CN"/>
              </w:rPr>
              <w:t>（</w:t>
            </w:r>
            <w:r>
              <w:rPr>
                <w:rFonts w:hint="eastAsia"/>
                <w:color w:val="auto"/>
                <w:kern w:val="0"/>
                <w:sz w:val="28"/>
                <w:szCs w:val="28"/>
                <w:lang w:val="en-US" w:eastAsia="zh-CN"/>
              </w:rPr>
              <w:t>1</w:t>
            </w:r>
            <w:r>
              <w:rPr>
                <w:rFonts w:hint="eastAsia"/>
                <w:color w:val="auto"/>
                <w:kern w:val="0"/>
                <w:sz w:val="28"/>
                <w:szCs w:val="28"/>
                <w:lang w:eastAsia="zh-CN"/>
              </w:rPr>
              <w:t>）</w:t>
            </w:r>
            <w:r>
              <w:rPr>
                <w:color w:val="auto"/>
                <w:kern w:val="0"/>
                <w:sz w:val="28"/>
                <w:szCs w:val="28"/>
              </w:rPr>
              <w:t>《</w:t>
            </w:r>
            <w:r>
              <w:rPr>
                <w:color w:val="auto"/>
                <w:sz w:val="28"/>
                <w:szCs w:val="28"/>
              </w:rPr>
              <w:fldChar w:fldCharType="begin"/>
            </w:r>
            <w:r>
              <w:rPr>
                <w:color w:val="auto"/>
                <w:sz w:val="28"/>
                <w:szCs w:val="28"/>
              </w:rPr>
              <w:instrText xml:space="preserve"> HYPERLINK "http://www.mee.gov.cn/ywgz/fgbz/bz/bzwb/gthw/gtfwwrkzbz/202012/t20201218_813927.shtml" </w:instrText>
            </w:r>
            <w:r>
              <w:rPr>
                <w:color w:val="auto"/>
                <w:sz w:val="28"/>
                <w:szCs w:val="28"/>
              </w:rPr>
              <w:fldChar w:fldCharType="separate"/>
            </w:r>
            <w:r>
              <w:rPr>
                <w:color w:val="auto"/>
                <w:kern w:val="0"/>
                <w:sz w:val="28"/>
                <w:szCs w:val="28"/>
              </w:rPr>
              <w:t>一般工业固体废物贮存和填埋污染控制标准</w:t>
            </w:r>
            <w:r>
              <w:rPr>
                <w:color w:val="auto"/>
                <w:kern w:val="0"/>
                <w:sz w:val="28"/>
                <w:szCs w:val="28"/>
              </w:rPr>
              <w:fldChar w:fldCharType="end"/>
            </w:r>
            <w:r>
              <w:rPr>
                <w:color w:val="auto"/>
                <w:kern w:val="0"/>
                <w:sz w:val="28"/>
                <w:szCs w:val="28"/>
              </w:rPr>
              <w:t>》（GB18599—2020）</w:t>
            </w:r>
            <w:r>
              <w:rPr>
                <w:rFonts w:hint="eastAsia"/>
                <w:color w:val="auto"/>
                <w:kern w:val="0"/>
                <w:sz w:val="28"/>
                <w:szCs w:val="28"/>
                <w:lang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560" w:firstLineChars="200"/>
              <w:textAlignment w:val="auto"/>
              <w:rPr>
                <w:color w:val="auto"/>
                <w:kern w:val="0"/>
                <w:sz w:val="28"/>
                <w:szCs w:val="28"/>
              </w:rPr>
            </w:pPr>
            <w:r>
              <w:rPr>
                <w:rStyle w:val="29"/>
                <w:rFonts w:hint="eastAsia"/>
                <w:color w:val="auto"/>
                <w:kern w:val="0"/>
                <w:sz w:val="28"/>
                <w:szCs w:val="28"/>
                <w:lang w:eastAsia="zh-CN"/>
              </w:rPr>
              <w:t>（</w:t>
            </w:r>
            <w:r>
              <w:rPr>
                <w:rStyle w:val="29"/>
                <w:rFonts w:hint="eastAsia"/>
                <w:color w:val="auto"/>
                <w:kern w:val="0"/>
                <w:sz w:val="28"/>
                <w:szCs w:val="28"/>
                <w:lang w:val="en-US" w:eastAsia="zh-CN"/>
              </w:rPr>
              <w:t>2</w:t>
            </w:r>
            <w:r>
              <w:rPr>
                <w:rStyle w:val="29"/>
                <w:rFonts w:hint="eastAsia"/>
                <w:color w:val="auto"/>
                <w:kern w:val="0"/>
                <w:sz w:val="28"/>
                <w:szCs w:val="28"/>
                <w:lang w:eastAsia="zh-CN"/>
              </w:rPr>
              <w:t>）</w:t>
            </w:r>
            <w:r>
              <w:rPr>
                <w:rFonts w:hint="default" w:ascii="Times New Roman" w:hAnsi="Times New Roman" w:cs="Times New Roman"/>
                <w:color w:val="0000FF"/>
                <w:sz w:val="28"/>
                <w:szCs w:val="28"/>
                <w:lang w:eastAsia="zh-CN"/>
              </w:rPr>
              <w:t>《危险废物贮存污染控制标准》（GB18597—2001）</w:t>
            </w:r>
            <w:r>
              <w:rPr>
                <w:rFonts w:hint="eastAsia" w:cs="Times New Roman"/>
                <w:color w:val="0000FF"/>
                <w:sz w:val="28"/>
                <w:szCs w:val="28"/>
                <w:lang w:eastAsia="zh-CN"/>
              </w:rPr>
              <w:t>及</w:t>
            </w:r>
            <w:r>
              <w:rPr>
                <w:rFonts w:hint="default" w:ascii="Times New Roman" w:hAnsi="Times New Roman" w:cs="Times New Roman"/>
                <w:color w:val="0000FF"/>
                <w:sz w:val="28"/>
                <w:szCs w:val="28"/>
                <w:lang w:eastAsia="zh-CN"/>
              </w:rPr>
              <w:t>2013修改单</w:t>
            </w:r>
            <w:r>
              <w:rPr>
                <w:rFonts w:hint="eastAsia"/>
                <w:color w:val="auto"/>
                <w:kern w:val="0"/>
                <w:sz w:val="28"/>
                <w:szCs w:val="28"/>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1" w:hRule="atLeast"/>
          <w:jc w:val="center"/>
        </w:trPr>
        <w:tc>
          <w:tcPr>
            <w:tcW w:w="800" w:type="dxa"/>
            <w:vAlign w:val="center"/>
          </w:tcPr>
          <w:p>
            <w:pPr>
              <w:adjustRightInd w:val="0"/>
              <w:snapToGrid w:val="0"/>
              <w:spacing w:line="520" w:lineRule="exact"/>
              <w:jc w:val="left"/>
              <w:rPr>
                <w:color w:val="auto"/>
                <w:kern w:val="0"/>
                <w:sz w:val="28"/>
                <w:szCs w:val="28"/>
              </w:rPr>
            </w:pPr>
            <w:r>
              <w:rPr>
                <w:color w:val="auto"/>
                <w:kern w:val="0"/>
                <w:sz w:val="28"/>
                <w:szCs w:val="28"/>
              </w:rPr>
              <w:t>总量</w:t>
            </w:r>
          </w:p>
          <w:p>
            <w:pPr>
              <w:adjustRightInd w:val="0"/>
              <w:snapToGrid w:val="0"/>
              <w:spacing w:line="520" w:lineRule="exact"/>
              <w:jc w:val="left"/>
              <w:rPr>
                <w:color w:val="auto"/>
                <w:kern w:val="0"/>
                <w:sz w:val="28"/>
                <w:szCs w:val="28"/>
              </w:rPr>
            </w:pPr>
            <w:r>
              <w:rPr>
                <w:color w:val="auto"/>
                <w:kern w:val="0"/>
                <w:sz w:val="28"/>
                <w:szCs w:val="28"/>
              </w:rPr>
              <w:t>控制</w:t>
            </w:r>
          </w:p>
          <w:p>
            <w:pPr>
              <w:adjustRightInd w:val="0"/>
              <w:snapToGrid w:val="0"/>
              <w:spacing w:line="520" w:lineRule="exact"/>
              <w:jc w:val="left"/>
              <w:rPr>
                <w:rFonts w:hint="eastAsia" w:ascii="Times New Roman" w:hAnsi="Times New Roman" w:eastAsia="宋体" w:cs="Times New Roman"/>
                <w:color w:val="auto"/>
                <w:kern w:val="0"/>
                <w:sz w:val="28"/>
                <w:szCs w:val="28"/>
              </w:rPr>
            </w:pPr>
            <w:r>
              <w:rPr>
                <w:color w:val="auto"/>
                <w:kern w:val="0"/>
                <w:sz w:val="28"/>
                <w:szCs w:val="28"/>
              </w:rPr>
              <w:t>指标</w:t>
            </w:r>
          </w:p>
        </w:tc>
        <w:tc>
          <w:tcPr>
            <w:tcW w:w="8076" w:type="dxa"/>
            <w:vAlign w:val="center"/>
          </w:tcPr>
          <w:p>
            <w:pPr>
              <w:adjustRightInd w:val="0"/>
              <w:snapToGrid w:val="0"/>
              <w:spacing w:line="520" w:lineRule="exact"/>
              <w:ind w:firstLine="560" w:firstLineChars="200"/>
              <w:rPr>
                <w:rFonts w:hint="default"/>
                <w:color w:val="auto"/>
                <w:kern w:val="0"/>
                <w:sz w:val="28"/>
                <w:szCs w:val="28"/>
                <w:vertAlign w:val="baseline"/>
                <w:lang w:val="en-US"/>
              </w:rPr>
            </w:pPr>
            <w:r>
              <w:rPr>
                <w:rFonts w:hint="eastAsia" w:ascii="Times New Roman" w:hAnsi="Times New Roman" w:eastAsia="宋体" w:cs="Times New Roman"/>
                <w:color w:val="auto"/>
                <w:kern w:val="0"/>
                <w:sz w:val="28"/>
                <w:szCs w:val="28"/>
                <w:lang w:eastAsia="zh-CN"/>
              </w:rPr>
              <w:t>本</w:t>
            </w:r>
            <w:r>
              <w:rPr>
                <w:rFonts w:hint="eastAsia"/>
                <w:color w:val="auto"/>
                <w:kern w:val="0"/>
                <w:sz w:val="28"/>
                <w:szCs w:val="28"/>
                <w:lang w:eastAsia="zh-CN"/>
              </w:rPr>
              <w:t>项目为新建项目，冬季不生产，生产用蒸汽有</w:t>
            </w:r>
            <w:r>
              <w:rPr>
                <w:rFonts w:hint="eastAsia"/>
                <w:color w:val="auto"/>
                <w:kern w:val="0"/>
                <w:sz w:val="28"/>
                <w:szCs w:val="28"/>
                <w:lang w:val="en-US" w:eastAsia="zh-CN"/>
              </w:rPr>
              <w:t>1</w:t>
            </w:r>
            <w:r>
              <w:rPr>
                <w:rFonts w:hint="eastAsia"/>
                <w:color w:val="auto"/>
                <w:kern w:val="0"/>
                <w:sz w:val="28"/>
                <w:szCs w:val="28"/>
                <w:lang w:eastAsia="zh-CN"/>
              </w:rPr>
              <w:t>台</w:t>
            </w:r>
            <w:r>
              <w:rPr>
                <w:rFonts w:hint="eastAsia"/>
                <w:color w:val="auto"/>
                <w:kern w:val="0"/>
                <w:sz w:val="28"/>
                <w:szCs w:val="28"/>
                <w:lang w:val="en-US" w:eastAsia="zh-CN"/>
              </w:rPr>
              <w:t>3t/h生物质锅炉提供，各污染物的总量为SO</w:t>
            </w:r>
            <w:r>
              <w:rPr>
                <w:rFonts w:hint="eastAsia"/>
                <w:color w:val="auto"/>
                <w:kern w:val="0"/>
                <w:sz w:val="28"/>
                <w:szCs w:val="28"/>
                <w:vertAlign w:val="subscript"/>
                <w:lang w:val="en-US" w:eastAsia="zh-CN"/>
              </w:rPr>
              <w:t>2</w:t>
            </w:r>
            <w:r>
              <w:rPr>
                <w:rFonts w:hint="eastAsia"/>
                <w:color w:val="auto"/>
                <w:kern w:val="0"/>
                <w:sz w:val="28"/>
                <w:szCs w:val="28"/>
                <w:vertAlign w:val="baseline"/>
                <w:lang w:val="en-US" w:eastAsia="zh-CN"/>
              </w:rPr>
              <w:t>：</w:t>
            </w:r>
            <w:r>
              <w:rPr>
                <w:rFonts w:hint="eastAsia"/>
                <w:color w:val="auto"/>
                <w:kern w:val="0"/>
                <w:sz w:val="28"/>
                <w:szCs w:val="28"/>
              </w:rPr>
              <w:t>0.085</w:t>
            </w:r>
            <w:r>
              <w:rPr>
                <w:color w:val="auto"/>
                <w:kern w:val="0"/>
                <w:sz w:val="28"/>
                <w:szCs w:val="28"/>
              </w:rPr>
              <w:t>t/a</w:t>
            </w:r>
            <w:r>
              <w:rPr>
                <w:rFonts w:hint="eastAsia"/>
                <w:color w:val="auto"/>
                <w:kern w:val="0"/>
                <w:sz w:val="28"/>
                <w:szCs w:val="28"/>
                <w:vertAlign w:val="baseline"/>
                <w:lang w:val="en-US" w:eastAsia="zh-CN"/>
              </w:rPr>
              <w:t>，氮氧化物：</w:t>
            </w:r>
            <w:r>
              <w:rPr>
                <w:rFonts w:hint="eastAsia"/>
                <w:color w:val="auto"/>
                <w:kern w:val="0"/>
                <w:sz w:val="28"/>
                <w:szCs w:val="28"/>
                <w:lang w:eastAsia="zh-CN"/>
              </w:rPr>
              <w:t>0.178</w:t>
            </w:r>
            <w:r>
              <w:rPr>
                <w:color w:val="auto"/>
                <w:kern w:val="0"/>
                <w:sz w:val="28"/>
                <w:szCs w:val="28"/>
              </w:rPr>
              <w:t>t/a</w:t>
            </w:r>
            <w:r>
              <w:rPr>
                <w:rFonts w:hint="eastAsia"/>
                <w:color w:val="auto"/>
                <w:kern w:val="0"/>
                <w:sz w:val="28"/>
                <w:szCs w:val="28"/>
                <w:vertAlign w:val="baseline"/>
                <w:lang w:val="en-US" w:eastAsia="zh-CN"/>
              </w:rPr>
              <w:t>；综上所述，故本项目申请总量控制指标为：</w:t>
            </w:r>
            <w:r>
              <w:rPr>
                <w:rFonts w:hint="eastAsia"/>
                <w:color w:val="auto"/>
                <w:kern w:val="0"/>
                <w:sz w:val="28"/>
                <w:szCs w:val="28"/>
                <w:lang w:val="en-US" w:eastAsia="zh-CN"/>
              </w:rPr>
              <w:t>SO</w:t>
            </w:r>
            <w:r>
              <w:rPr>
                <w:rFonts w:hint="eastAsia"/>
                <w:color w:val="auto"/>
                <w:kern w:val="0"/>
                <w:sz w:val="28"/>
                <w:szCs w:val="28"/>
                <w:vertAlign w:val="subscript"/>
                <w:lang w:val="en-US" w:eastAsia="zh-CN"/>
              </w:rPr>
              <w:t>2</w:t>
            </w:r>
            <w:r>
              <w:rPr>
                <w:rFonts w:hint="eastAsia"/>
                <w:color w:val="auto"/>
                <w:kern w:val="0"/>
                <w:sz w:val="28"/>
                <w:szCs w:val="28"/>
                <w:vertAlign w:val="baseline"/>
                <w:lang w:val="en-US" w:eastAsia="zh-CN"/>
              </w:rPr>
              <w:t>：</w:t>
            </w:r>
            <w:r>
              <w:rPr>
                <w:rFonts w:hint="eastAsia"/>
                <w:color w:val="auto"/>
                <w:kern w:val="0"/>
                <w:sz w:val="28"/>
                <w:szCs w:val="28"/>
              </w:rPr>
              <w:t>0.085</w:t>
            </w:r>
            <w:r>
              <w:rPr>
                <w:color w:val="auto"/>
                <w:kern w:val="0"/>
                <w:sz w:val="28"/>
                <w:szCs w:val="28"/>
              </w:rPr>
              <w:t>t/a</w:t>
            </w:r>
            <w:r>
              <w:rPr>
                <w:rFonts w:hint="eastAsia"/>
                <w:color w:val="auto"/>
                <w:kern w:val="0"/>
                <w:sz w:val="28"/>
                <w:szCs w:val="28"/>
                <w:vertAlign w:val="baseline"/>
                <w:lang w:val="en-US" w:eastAsia="zh-CN"/>
              </w:rPr>
              <w:t>，氮氧化物：</w:t>
            </w:r>
            <w:r>
              <w:rPr>
                <w:rFonts w:hint="eastAsia"/>
                <w:color w:val="auto"/>
                <w:kern w:val="0"/>
                <w:sz w:val="28"/>
                <w:szCs w:val="28"/>
                <w:lang w:eastAsia="zh-CN"/>
              </w:rPr>
              <w:t>0.178</w:t>
            </w:r>
            <w:r>
              <w:rPr>
                <w:color w:val="auto"/>
                <w:kern w:val="0"/>
                <w:sz w:val="28"/>
                <w:szCs w:val="28"/>
              </w:rPr>
              <w:t>t/a</w:t>
            </w:r>
            <w:r>
              <w:rPr>
                <w:rFonts w:hint="eastAsia"/>
                <w:color w:val="auto"/>
                <w:kern w:val="0"/>
                <w:sz w:val="28"/>
                <w:szCs w:val="28"/>
                <w:vertAlign w:val="baseline"/>
                <w:lang w:val="en-US" w:eastAsia="zh-CN"/>
              </w:rPr>
              <w:t>。</w:t>
            </w:r>
          </w:p>
        </w:tc>
      </w:tr>
    </w:tbl>
    <w:p>
      <w:pPr>
        <w:pStyle w:val="15"/>
        <w:jc w:val="center"/>
        <w:outlineLvl w:val="0"/>
        <w:rPr>
          <w:rFonts w:ascii="黑体" w:hAnsi="黑体" w:eastAsia="黑体"/>
          <w:snapToGrid w:val="0"/>
          <w:color w:val="auto"/>
          <w:sz w:val="30"/>
          <w:szCs w:val="30"/>
        </w:rPr>
      </w:pPr>
      <w:r>
        <w:rPr>
          <w:rFonts w:ascii="黑体" w:hAnsi="黑体" w:eastAsia="黑体"/>
          <w:snapToGrid w:val="0"/>
          <w:color w:val="auto"/>
          <w:sz w:val="36"/>
          <w:szCs w:val="36"/>
        </w:rPr>
        <w:br w:type="page"/>
      </w:r>
      <w:r>
        <w:rPr>
          <w:rFonts w:hint="eastAsia" w:ascii="黑体" w:hAnsi="黑体" w:eastAsia="黑体"/>
          <w:snapToGrid w:val="0"/>
          <w:color w:val="auto"/>
          <w:sz w:val="30"/>
          <w:szCs w:val="30"/>
        </w:rPr>
        <w:t>四、主要环境影响和保护措施</w:t>
      </w:r>
    </w:p>
    <w:tbl>
      <w:tblPr>
        <w:tblStyle w:val="18"/>
        <w:tblW w:w="898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37"/>
        <w:gridCol w:w="814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65" w:hRule="atLeast"/>
          <w:jc w:val="center"/>
        </w:trPr>
        <w:tc>
          <w:tcPr>
            <w:tcW w:w="837" w:type="dxa"/>
            <w:tcMar>
              <w:left w:w="28" w:type="dxa"/>
              <w:right w:w="28" w:type="dxa"/>
            </w:tcMar>
            <w:vAlign w:val="center"/>
          </w:tcPr>
          <w:p>
            <w:pPr>
              <w:pStyle w:val="15"/>
              <w:adjustRightInd w:val="0"/>
              <w:snapToGrid w:val="0"/>
              <w:spacing w:before="0" w:beforeAutospacing="0" w:after="0" w:afterAutospacing="0"/>
              <w:jc w:val="center"/>
              <w:rPr>
                <w:rFonts w:ascii="Times New Roman" w:hAnsi="Times New Roman"/>
                <w:color w:val="auto"/>
                <w:kern w:val="2"/>
                <w:sz w:val="28"/>
                <w:szCs w:val="28"/>
              </w:rPr>
            </w:pPr>
            <w:r>
              <w:rPr>
                <w:rFonts w:ascii="Times New Roman" w:hAnsi="Times New Roman"/>
                <w:color w:val="auto"/>
                <w:kern w:val="2"/>
                <w:sz w:val="28"/>
                <w:szCs w:val="28"/>
              </w:rPr>
              <w:t>施工</w:t>
            </w:r>
          </w:p>
          <w:p>
            <w:pPr>
              <w:pStyle w:val="15"/>
              <w:adjustRightInd w:val="0"/>
              <w:snapToGrid w:val="0"/>
              <w:spacing w:before="0" w:beforeAutospacing="0" w:after="0" w:afterAutospacing="0"/>
              <w:jc w:val="center"/>
              <w:rPr>
                <w:rFonts w:ascii="Times New Roman" w:hAnsi="Times New Roman"/>
                <w:color w:val="auto"/>
                <w:kern w:val="2"/>
                <w:sz w:val="28"/>
                <w:szCs w:val="28"/>
              </w:rPr>
            </w:pPr>
            <w:r>
              <w:rPr>
                <w:rFonts w:ascii="Times New Roman" w:hAnsi="Times New Roman"/>
                <w:color w:val="auto"/>
                <w:kern w:val="2"/>
                <w:sz w:val="28"/>
                <w:szCs w:val="28"/>
              </w:rPr>
              <w:t>期环</w:t>
            </w:r>
          </w:p>
          <w:p>
            <w:pPr>
              <w:pStyle w:val="15"/>
              <w:adjustRightInd w:val="0"/>
              <w:snapToGrid w:val="0"/>
              <w:spacing w:before="0" w:beforeAutospacing="0" w:after="0" w:afterAutospacing="0"/>
              <w:jc w:val="center"/>
              <w:rPr>
                <w:rFonts w:ascii="Times New Roman" w:hAnsi="Times New Roman"/>
                <w:color w:val="auto"/>
                <w:kern w:val="2"/>
                <w:sz w:val="28"/>
                <w:szCs w:val="28"/>
              </w:rPr>
            </w:pPr>
            <w:r>
              <w:rPr>
                <w:rFonts w:ascii="Times New Roman" w:hAnsi="Times New Roman"/>
                <w:color w:val="auto"/>
                <w:kern w:val="2"/>
                <w:sz w:val="28"/>
                <w:szCs w:val="28"/>
              </w:rPr>
              <w:t>境保</w:t>
            </w:r>
          </w:p>
          <w:p>
            <w:pPr>
              <w:pStyle w:val="15"/>
              <w:adjustRightInd w:val="0"/>
              <w:snapToGrid w:val="0"/>
              <w:spacing w:before="0" w:beforeAutospacing="0" w:after="0" w:afterAutospacing="0"/>
              <w:jc w:val="center"/>
              <w:rPr>
                <w:rFonts w:ascii="Times New Roman" w:hAnsi="Times New Roman"/>
                <w:color w:val="auto"/>
                <w:kern w:val="2"/>
                <w:sz w:val="28"/>
                <w:szCs w:val="28"/>
              </w:rPr>
            </w:pPr>
            <w:r>
              <w:rPr>
                <w:rFonts w:ascii="Times New Roman" w:hAnsi="Times New Roman"/>
                <w:color w:val="auto"/>
                <w:kern w:val="2"/>
                <w:sz w:val="28"/>
                <w:szCs w:val="28"/>
              </w:rPr>
              <w:t>护措</w:t>
            </w:r>
          </w:p>
          <w:p>
            <w:pPr>
              <w:pStyle w:val="15"/>
              <w:adjustRightInd w:val="0"/>
              <w:snapToGrid w:val="0"/>
              <w:spacing w:before="0" w:beforeAutospacing="0" w:after="0" w:afterAutospacing="0"/>
              <w:jc w:val="center"/>
              <w:rPr>
                <w:rFonts w:ascii="Times New Roman" w:hAnsi="Times New Roman"/>
                <w:bCs/>
                <w:color w:val="auto"/>
                <w:kern w:val="2"/>
                <w:sz w:val="28"/>
                <w:szCs w:val="28"/>
              </w:rPr>
            </w:pPr>
            <w:r>
              <w:rPr>
                <w:rFonts w:ascii="Times New Roman" w:hAnsi="Times New Roman"/>
                <w:color w:val="auto"/>
                <w:kern w:val="2"/>
                <w:sz w:val="28"/>
                <w:szCs w:val="28"/>
              </w:rPr>
              <w:t>施</w:t>
            </w:r>
          </w:p>
        </w:tc>
        <w:tc>
          <w:tcPr>
            <w:tcW w:w="8144" w:type="dxa"/>
            <w:vAlign w:val="center"/>
          </w:tcPr>
          <w:p>
            <w:pPr>
              <w:pStyle w:val="7"/>
              <w:spacing w:line="520" w:lineRule="exact"/>
              <w:ind w:firstLine="560" w:firstLineChars="200"/>
              <w:rPr>
                <w:color w:val="auto"/>
                <w:sz w:val="28"/>
                <w:szCs w:val="28"/>
              </w:rPr>
            </w:pPr>
            <w:r>
              <w:rPr>
                <w:color w:val="auto"/>
                <w:kern w:val="2"/>
                <w:sz w:val="28"/>
                <w:szCs w:val="28"/>
              </w:rPr>
              <w:t>在施工过程中将不可避免地产生扬尘、噪声、废水、固废等对周围环境造成影响。但施工场地开阔，影响范围有限，这种影响伴随施工结束而消失。</w:t>
            </w:r>
            <w:r>
              <w:rPr>
                <w:rFonts w:hint="eastAsia"/>
                <w:color w:val="auto"/>
                <w:kern w:val="2"/>
                <w:sz w:val="28"/>
                <w:szCs w:val="28"/>
              </w:rPr>
              <w:t>本项目生产车间已于2017年建设完成，</w:t>
            </w:r>
            <w:r>
              <w:rPr>
                <w:rFonts w:hint="eastAsia"/>
                <w:color w:val="auto"/>
                <w:kern w:val="2"/>
                <w:sz w:val="28"/>
                <w:szCs w:val="28"/>
                <w:lang w:eastAsia="zh-CN"/>
              </w:rPr>
              <w:t>成品仓库尚未建设，</w:t>
            </w:r>
            <w:r>
              <w:rPr>
                <w:rFonts w:hint="eastAsia"/>
                <w:color w:val="auto"/>
                <w:kern w:val="2"/>
                <w:sz w:val="28"/>
                <w:szCs w:val="28"/>
              </w:rPr>
              <w:t>本次施工期仅对</w:t>
            </w:r>
            <w:r>
              <w:rPr>
                <w:rFonts w:hint="eastAsia"/>
                <w:color w:val="auto"/>
                <w:kern w:val="2"/>
                <w:sz w:val="28"/>
                <w:szCs w:val="28"/>
                <w:lang w:eastAsia="zh-CN"/>
              </w:rPr>
              <w:t>新建仓库</w:t>
            </w:r>
            <w:r>
              <w:rPr>
                <w:rFonts w:hint="eastAsia"/>
                <w:color w:val="auto"/>
                <w:kern w:val="2"/>
                <w:sz w:val="28"/>
                <w:szCs w:val="28"/>
              </w:rPr>
              <w:t>区域建设时产生的影响进行分析</w:t>
            </w:r>
            <w:r>
              <w:rPr>
                <w:color w:val="auto"/>
                <w:kern w:val="2"/>
                <w:sz w:val="28"/>
                <w:szCs w:val="28"/>
              </w:rPr>
              <w:t>。</w:t>
            </w:r>
          </w:p>
          <w:p>
            <w:pPr>
              <w:spacing w:line="520" w:lineRule="exact"/>
              <w:rPr>
                <w:b/>
                <w:color w:val="auto"/>
                <w:sz w:val="28"/>
                <w:szCs w:val="28"/>
              </w:rPr>
            </w:pPr>
            <w:r>
              <w:rPr>
                <w:b/>
                <w:color w:val="auto"/>
                <w:sz w:val="28"/>
                <w:szCs w:val="28"/>
              </w:rPr>
              <w:t>1</w:t>
            </w:r>
            <w:r>
              <w:rPr>
                <w:rFonts w:hint="eastAsia"/>
                <w:b/>
                <w:color w:val="auto"/>
                <w:sz w:val="28"/>
                <w:szCs w:val="28"/>
              </w:rPr>
              <w:t>大气环境影响及措施</w:t>
            </w:r>
          </w:p>
          <w:p>
            <w:pPr>
              <w:spacing w:line="520" w:lineRule="exact"/>
              <w:ind w:firstLine="560" w:firstLineChars="200"/>
              <w:rPr>
                <w:color w:val="auto"/>
                <w:sz w:val="28"/>
                <w:szCs w:val="28"/>
              </w:rPr>
            </w:pPr>
            <w:r>
              <w:rPr>
                <w:color w:val="auto"/>
                <w:sz w:val="28"/>
                <w:szCs w:val="28"/>
              </w:rPr>
              <w:t>项目施工过程清理表层、土方挖填、土方堆存、平整土地、建材运输等环节都有大气污染物产生，大气污染物最主要的是施工扬尘、燃油机械废气。</w:t>
            </w:r>
          </w:p>
          <w:p>
            <w:pPr>
              <w:spacing w:line="520" w:lineRule="exact"/>
              <w:rPr>
                <w:b/>
                <w:color w:val="auto"/>
                <w:sz w:val="28"/>
                <w:szCs w:val="28"/>
              </w:rPr>
            </w:pPr>
            <w:r>
              <w:rPr>
                <w:b/>
                <w:color w:val="auto"/>
                <w:sz w:val="28"/>
                <w:szCs w:val="28"/>
              </w:rPr>
              <w:t>1.1施工扬尘</w:t>
            </w:r>
          </w:p>
          <w:p>
            <w:pPr>
              <w:spacing w:line="520" w:lineRule="exact"/>
              <w:ind w:firstLine="560" w:firstLineChars="200"/>
              <w:rPr>
                <w:color w:val="auto"/>
                <w:sz w:val="28"/>
                <w:szCs w:val="28"/>
              </w:rPr>
            </w:pPr>
            <w:r>
              <w:rPr>
                <w:color w:val="auto"/>
                <w:sz w:val="28"/>
                <w:szCs w:val="28"/>
              </w:rPr>
              <w:t>本项目施工期扬尘主要为施工作业扬尘、材料堆放扬尘和道路扬尘。扬尘量的大小与天气干燥程度、道路路况、车辆行驶速度、风速大小有关。一般情况下，在自然风作用下，扬尘影响范围在100m以内。在大风天气，扬尘量及影响范围将有所扩大。扬尘污染具有流动性、瞬时性，为无组织排放。</w:t>
            </w:r>
          </w:p>
          <w:p>
            <w:pPr>
              <w:spacing w:line="520" w:lineRule="exact"/>
              <w:ind w:firstLine="560" w:firstLineChars="200"/>
              <w:rPr>
                <w:color w:val="auto"/>
                <w:sz w:val="28"/>
                <w:szCs w:val="28"/>
              </w:rPr>
            </w:pPr>
            <w:r>
              <w:rPr>
                <w:color w:val="auto"/>
                <w:sz w:val="28"/>
                <w:szCs w:val="28"/>
              </w:rPr>
              <w:t>防治措施：</w:t>
            </w:r>
          </w:p>
          <w:p>
            <w:pPr>
              <w:spacing w:line="520" w:lineRule="exact"/>
              <w:ind w:firstLine="560" w:firstLineChars="200"/>
              <w:rPr>
                <w:color w:val="auto"/>
                <w:sz w:val="28"/>
                <w:szCs w:val="28"/>
              </w:rPr>
            </w:pPr>
            <w:r>
              <w:rPr>
                <w:color w:val="auto"/>
                <w:sz w:val="28"/>
                <w:szCs w:val="28"/>
              </w:rPr>
              <w:t>（1）施工过程按照标准在</w:t>
            </w:r>
            <w:r>
              <w:rPr>
                <w:rFonts w:hint="eastAsia"/>
                <w:color w:val="auto"/>
                <w:sz w:val="28"/>
                <w:szCs w:val="28"/>
                <w:lang w:eastAsia="zh-CN"/>
              </w:rPr>
              <w:t>成品仓库建设区域</w:t>
            </w:r>
            <w:r>
              <w:rPr>
                <w:color w:val="auto"/>
                <w:sz w:val="28"/>
                <w:szCs w:val="28"/>
              </w:rPr>
              <w:t>周边设置围挡，并对围挡进行维护。</w:t>
            </w:r>
          </w:p>
          <w:p>
            <w:pPr>
              <w:spacing w:line="520" w:lineRule="exact"/>
              <w:ind w:firstLine="560" w:firstLineChars="200"/>
              <w:rPr>
                <w:color w:val="auto"/>
                <w:sz w:val="28"/>
                <w:szCs w:val="28"/>
              </w:rPr>
            </w:pPr>
            <w:r>
              <w:rPr>
                <w:color w:val="auto"/>
                <w:sz w:val="28"/>
                <w:szCs w:val="28"/>
              </w:rPr>
              <w:t>（2）砂石料应统一堆放，尽量减少搬运环节，同时应使用商品混凝土，禁止现场搅拌。</w:t>
            </w:r>
          </w:p>
          <w:p>
            <w:pPr>
              <w:spacing w:line="520" w:lineRule="exact"/>
              <w:ind w:firstLine="560" w:firstLineChars="200"/>
              <w:rPr>
                <w:color w:val="auto"/>
                <w:sz w:val="28"/>
                <w:szCs w:val="28"/>
              </w:rPr>
            </w:pPr>
            <w:r>
              <w:rPr>
                <w:color w:val="auto"/>
                <w:sz w:val="28"/>
                <w:szCs w:val="28"/>
              </w:rPr>
              <w:t>（</w:t>
            </w:r>
            <w:r>
              <w:rPr>
                <w:rFonts w:hint="eastAsia"/>
                <w:color w:val="auto"/>
                <w:sz w:val="28"/>
                <w:szCs w:val="28"/>
                <w:lang w:val="en-US" w:eastAsia="zh-CN"/>
              </w:rPr>
              <w:t>3</w:t>
            </w:r>
            <w:r>
              <w:rPr>
                <w:color w:val="auto"/>
                <w:sz w:val="28"/>
                <w:szCs w:val="28"/>
              </w:rPr>
              <w:t>）建筑材料及时使用或加盖遮挡，风速过大时应停止施工作业，建筑垃圾应及时清运。</w:t>
            </w:r>
          </w:p>
          <w:p>
            <w:pPr>
              <w:spacing w:line="520" w:lineRule="exact"/>
              <w:ind w:firstLine="560" w:firstLineChars="200"/>
              <w:rPr>
                <w:color w:val="auto"/>
                <w:sz w:val="28"/>
                <w:szCs w:val="28"/>
              </w:rPr>
            </w:pPr>
            <w:r>
              <w:rPr>
                <w:color w:val="auto"/>
                <w:sz w:val="28"/>
                <w:szCs w:val="28"/>
              </w:rPr>
              <w:t>（</w:t>
            </w:r>
            <w:r>
              <w:rPr>
                <w:rFonts w:hint="eastAsia"/>
                <w:color w:val="auto"/>
                <w:sz w:val="28"/>
                <w:szCs w:val="28"/>
                <w:lang w:val="en-US" w:eastAsia="zh-CN"/>
              </w:rPr>
              <w:t>4</w:t>
            </w:r>
            <w:r>
              <w:rPr>
                <w:color w:val="auto"/>
                <w:sz w:val="28"/>
                <w:szCs w:val="28"/>
              </w:rPr>
              <w:t>）平整场地与及时清运建筑垃圾相结合，建筑垃圾装运前要洒水，运输车辆安装篷布，减少洒落。</w:t>
            </w:r>
          </w:p>
          <w:p>
            <w:pPr>
              <w:spacing w:line="520" w:lineRule="exact"/>
              <w:ind w:firstLine="560" w:firstLineChars="200"/>
              <w:rPr>
                <w:color w:val="auto"/>
                <w:sz w:val="28"/>
                <w:szCs w:val="28"/>
              </w:rPr>
            </w:pPr>
            <w:r>
              <w:rPr>
                <w:color w:val="auto"/>
                <w:sz w:val="28"/>
                <w:szCs w:val="28"/>
              </w:rPr>
              <w:t>（</w:t>
            </w:r>
            <w:r>
              <w:rPr>
                <w:rFonts w:hint="eastAsia"/>
                <w:color w:val="auto"/>
                <w:sz w:val="28"/>
                <w:szCs w:val="28"/>
                <w:lang w:val="en-US" w:eastAsia="zh-CN"/>
              </w:rPr>
              <w:t>5</w:t>
            </w:r>
            <w:r>
              <w:rPr>
                <w:color w:val="auto"/>
                <w:sz w:val="28"/>
                <w:szCs w:val="28"/>
              </w:rPr>
              <w:t>）物料、渣土运输车辆，装载的物料、渣土高度不得超过车辆槽帮上沿，车斗用苫布遮盖或者采用密闭车斗。</w:t>
            </w:r>
          </w:p>
          <w:p>
            <w:pPr>
              <w:spacing w:line="520" w:lineRule="exact"/>
              <w:ind w:firstLine="560" w:firstLineChars="200"/>
              <w:rPr>
                <w:color w:val="auto"/>
                <w:sz w:val="28"/>
                <w:szCs w:val="28"/>
              </w:rPr>
            </w:pPr>
            <w:r>
              <w:rPr>
                <w:color w:val="auto"/>
                <w:sz w:val="28"/>
                <w:szCs w:val="28"/>
              </w:rPr>
              <w:t>（</w:t>
            </w:r>
            <w:r>
              <w:rPr>
                <w:rFonts w:hint="eastAsia"/>
                <w:color w:val="auto"/>
                <w:sz w:val="28"/>
                <w:szCs w:val="28"/>
                <w:lang w:val="en-US" w:eastAsia="zh-CN"/>
              </w:rPr>
              <w:t>6</w:t>
            </w:r>
            <w:r>
              <w:rPr>
                <w:color w:val="auto"/>
                <w:sz w:val="28"/>
                <w:szCs w:val="28"/>
              </w:rPr>
              <w:t>）为进一步降低施工扬尘，要定期对路面和施工场区洒水，保持下垫面和空气湿润，减少起尘量，洒水频率视天气情况调整，原则上晴天每天不少于4次。</w:t>
            </w:r>
          </w:p>
          <w:p>
            <w:pPr>
              <w:spacing w:line="520" w:lineRule="exact"/>
              <w:ind w:firstLine="560" w:firstLineChars="200"/>
              <w:rPr>
                <w:color w:val="auto"/>
                <w:sz w:val="28"/>
                <w:szCs w:val="28"/>
              </w:rPr>
            </w:pPr>
            <w:r>
              <w:rPr>
                <w:color w:val="auto"/>
                <w:sz w:val="28"/>
                <w:szCs w:val="28"/>
              </w:rPr>
              <w:t>（</w:t>
            </w:r>
            <w:r>
              <w:rPr>
                <w:rFonts w:hint="eastAsia"/>
                <w:color w:val="auto"/>
                <w:sz w:val="28"/>
                <w:szCs w:val="28"/>
                <w:lang w:val="en-US" w:eastAsia="zh-CN"/>
              </w:rPr>
              <w:t>7</w:t>
            </w:r>
            <w:r>
              <w:rPr>
                <w:color w:val="auto"/>
                <w:sz w:val="28"/>
                <w:szCs w:val="28"/>
              </w:rPr>
              <w:t>）4级以上大风天气，不得进行土方回填、转运以及其他可能产生扬尘污染的施工，并对施工场地做好遮掩工作。</w:t>
            </w:r>
          </w:p>
          <w:p>
            <w:pPr>
              <w:spacing w:line="520" w:lineRule="exact"/>
              <w:rPr>
                <w:b/>
                <w:color w:val="auto"/>
                <w:sz w:val="28"/>
                <w:szCs w:val="28"/>
              </w:rPr>
            </w:pPr>
            <w:r>
              <w:rPr>
                <w:rFonts w:hint="eastAsia"/>
                <w:b/>
                <w:color w:val="auto"/>
                <w:sz w:val="28"/>
                <w:szCs w:val="28"/>
              </w:rPr>
              <w:t>2水</w:t>
            </w:r>
            <w:r>
              <w:rPr>
                <w:b/>
                <w:color w:val="auto"/>
                <w:sz w:val="28"/>
                <w:szCs w:val="28"/>
              </w:rPr>
              <w:t>环境影响</w:t>
            </w:r>
            <w:r>
              <w:rPr>
                <w:rFonts w:hint="eastAsia"/>
                <w:b/>
                <w:color w:val="auto"/>
                <w:sz w:val="28"/>
                <w:szCs w:val="28"/>
              </w:rPr>
              <w:t>及</w:t>
            </w:r>
            <w:r>
              <w:rPr>
                <w:b/>
                <w:color w:val="auto"/>
                <w:sz w:val="28"/>
                <w:szCs w:val="28"/>
              </w:rPr>
              <w:t>防治措施</w:t>
            </w:r>
          </w:p>
          <w:p>
            <w:pPr>
              <w:spacing w:line="520" w:lineRule="exact"/>
              <w:ind w:firstLine="560" w:firstLineChars="200"/>
              <w:rPr>
                <w:color w:val="auto"/>
                <w:sz w:val="28"/>
                <w:szCs w:val="28"/>
              </w:rPr>
            </w:pPr>
            <w:r>
              <w:rPr>
                <w:rFonts w:hint="eastAsia"/>
                <w:color w:val="auto"/>
                <w:sz w:val="28"/>
                <w:szCs w:val="28"/>
              </w:rPr>
              <w:t>建设单位在施工建设时必须严格控制施工期废水的产生及排放。</w:t>
            </w:r>
          </w:p>
          <w:p>
            <w:pPr>
              <w:spacing w:line="520" w:lineRule="exact"/>
              <w:ind w:firstLine="560" w:firstLineChars="200"/>
              <w:rPr>
                <w:color w:val="auto"/>
                <w:sz w:val="28"/>
                <w:szCs w:val="28"/>
              </w:rPr>
            </w:pPr>
            <w:r>
              <w:rPr>
                <w:rFonts w:hint="eastAsia"/>
                <w:color w:val="auto"/>
                <w:sz w:val="28"/>
                <w:szCs w:val="28"/>
              </w:rPr>
              <w:t>（1）生活污水</w:t>
            </w:r>
          </w:p>
          <w:p>
            <w:pPr>
              <w:spacing w:line="520" w:lineRule="exact"/>
              <w:ind w:firstLine="560" w:firstLineChars="200"/>
              <w:rPr>
                <w:color w:val="auto"/>
                <w:sz w:val="28"/>
                <w:szCs w:val="28"/>
              </w:rPr>
            </w:pPr>
            <w:r>
              <w:rPr>
                <w:rFonts w:hint="eastAsia"/>
                <w:color w:val="auto"/>
                <w:sz w:val="28"/>
                <w:szCs w:val="28"/>
              </w:rPr>
              <w:t>本项目</w:t>
            </w:r>
            <w:r>
              <w:rPr>
                <w:rFonts w:hint="eastAsia"/>
                <w:color w:val="auto"/>
                <w:sz w:val="28"/>
                <w:szCs w:val="28"/>
                <w:lang w:eastAsia="zh-CN"/>
              </w:rPr>
              <w:t>施工仅为厂区内未建成品仓库建设，施工期较短，废水依托场内现有排水设施</w:t>
            </w:r>
            <w:r>
              <w:rPr>
                <w:rFonts w:hint="eastAsia"/>
                <w:color w:val="auto"/>
                <w:sz w:val="28"/>
                <w:szCs w:val="28"/>
              </w:rPr>
              <w:t>排入城镇下水管网，</w:t>
            </w:r>
            <w:r>
              <w:rPr>
                <w:rFonts w:hint="eastAsia"/>
                <w:color w:val="auto"/>
                <w:sz w:val="28"/>
                <w:szCs w:val="28"/>
                <w:lang w:eastAsia="zh-CN"/>
              </w:rPr>
              <w:t>本次不再核算施工期生活废水，对周边环境</w:t>
            </w:r>
            <w:r>
              <w:rPr>
                <w:rFonts w:hint="eastAsia"/>
                <w:color w:val="auto"/>
                <w:sz w:val="28"/>
                <w:szCs w:val="28"/>
              </w:rPr>
              <w:t>影响</w:t>
            </w:r>
            <w:r>
              <w:rPr>
                <w:rFonts w:hint="eastAsia"/>
                <w:color w:val="auto"/>
                <w:sz w:val="28"/>
                <w:szCs w:val="28"/>
                <w:lang w:eastAsia="zh-CN"/>
              </w:rPr>
              <w:t>甚微</w:t>
            </w:r>
            <w:r>
              <w:rPr>
                <w:rFonts w:hint="eastAsia"/>
                <w:color w:val="auto"/>
                <w:sz w:val="28"/>
                <w:szCs w:val="28"/>
              </w:rPr>
              <w:t>。</w:t>
            </w:r>
          </w:p>
          <w:p>
            <w:pPr>
              <w:spacing w:line="520" w:lineRule="exact"/>
              <w:ind w:firstLine="560" w:firstLineChars="200"/>
              <w:rPr>
                <w:color w:val="auto"/>
                <w:sz w:val="28"/>
                <w:szCs w:val="28"/>
              </w:rPr>
            </w:pPr>
            <w:r>
              <w:rPr>
                <w:rFonts w:hint="eastAsia"/>
                <w:color w:val="auto"/>
                <w:sz w:val="28"/>
                <w:szCs w:val="28"/>
              </w:rPr>
              <w:t>（2）施工废水</w:t>
            </w:r>
          </w:p>
          <w:p>
            <w:pPr>
              <w:spacing w:line="520" w:lineRule="exact"/>
              <w:ind w:firstLine="560" w:firstLineChars="200"/>
              <w:rPr>
                <w:color w:val="auto"/>
                <w:sz w:val="28"/>
                <w:szCs w:val="28"/>
              </w:rPr>
            </w:pPr>
            <w:r>
              <w:rPr>
                <w:rFonts w:hint="eastAsia"/>
                <w:color w:val="auto"/>
                <w:sz w:val="28"/>
                <w:szCs w:val="28"/>
              </w:rPr>
              <w:t>施工期产生的废水主要为各种施工机械运转的洗涤水、施工现场清洗水</w:t>
            </w:r>
            <w:r>
              <w:rPr>
                <w:rFonts w:hint="eastAsia"/>
                <w:color w:val="auto"/>
                <w:sz w:val="28"/>
                <w:szCs w:val="28"/>
                <w:lang w:eastAsia="zh-CN"/>
              </w:rPr>
              <w:t>等</w:t>
            </w:r>
            <w:r>
              <w:rPr>
                <w:rFonts w:hint="eastAsia"/>
                <w:color w:val="auto"/>
                <w:sz w:val="28"/>
                <w:szCs w:val="28"/>
              </w:rPr>
              <w:t>废水，</w:t>
            </w:r>
            <w:r>
              <w:rPr>
                <w:rFonts w:hint="eastAsia"/>
                <w:color w:val="auto"/>
                <w:sz w:val="28"/>
                <w:szCs w:val="28"/>
                <w:lang w:eastAsia="zh-CN"/>
              </w:rPr>
              <w:t>由于施工期较短且施工工艺简单，</w:t>
            </w:r>
            <w:r>
              <w:rPr>
                <w:rFonts w:hint="eastAsia"/>
                <w:color w:val="auto"/>
                <w:sz w:val="28"/>
                <w:szCs w:val="28"/>
              </w:rPr>
              <w:t>废水</w:t>
            </w:r>
            <w:r>
              <w:rPr>
                <w:rFonts w:hint="eastAsia"/>
                <w:color w:val="auto"/>
                <w:sz w:val="28"/>
                <w:szCs w:val="28"/>
                <w:lang w:eastAsia="zh-CN"/>
              </w:rPr>
              <w:t>产生量较小，依托场内现有排水设施排放</w:t>
            </w:r>
            <w:r>
              <w:rPr>
                <w:rFonts w:hint="eastAsia"/>
                <w:color w:val="auto"/>
                <w:sz w:val="28"/>
                <w:szCs w:val="28"/>
              </w:rPr>
              <w:t>。</w:t>
            </w:r>
          </w:p>
          <w:p>
            <w:pPr>
              <w:spacing w:line="520" w:lineRule="exact"/>
              <w:ind w:firstLine="560" w:firstLineChars="200"/>
              <w:rPr>
                <w:color w:val="auto"/>
                <w:sz w:val="28"/>
                <w:szCs w:val="28"/>
              </w:rPr>
            </w:pPr>
            <w:r>
              <w:rPr>
                <w:rFonts w:hint="eastAsia"/>
                <w:color w:val="auto"/>
                <w:sz w:val="28"/>
                <w:szCs w:val="28"/>
              </w:rPr>
              <w:t>经过上述处理后施工期废水对周边水环境影响不大。</w:t>
            </w:r>
          </w:p>
          <w:p>
            <w:pPr>
              <w:spacing w:line="520" w:lineRule="exact"/>
              <w:rPr>
                <w:b/>
                <w:color w:val="auto"/>
                <w:sz w:val="28"/>
                <w:szCs w:val="28"/>
              </w:rPr>
            </w:pPr>
            <w:r>
              <w:rPr>
                <w:rFonts w:hint="eastAsia"/>
                <w:b/>
                <w:color w:val="auto"/>
                <w:sz w:val="28"/>
                <w:szCs w:val="28"/>
              </w:rPr>
              <w:t>3声</w:t>
            </w:r>
            <w:r>
              <w:rPr>
                <w:b/>
                <w:color w:val="auto"/>
                <w:sz w:val="28"/>
                <w:szCs w:val="28"/>
              </w:rPr>
              <w:t>环境影响</w:t>
            </w:r>
            <w:r>
              <w:rPr>
                <w:rFonts w:hint="eastAsia"/>
                <w:b/>
                <w:color w:val="auto"/>
                <w:sz w:val="28"/>
                <w:szCs w:val="28"/>
              </w:rPr>
              <w:t>及</w:t>
            </w:r>
            <w:r>
              <w:rPr>
                <w:b/>
                <w:color w:val="auto"/>
                <w:sz w:val="28"/>
                <w:szCs w:val="28"/>
              </w:rPr>
              <w:t>防治措施</w:t>
            </w:r>
          </w:p>
          <w:p>
            <w:pPr>
              <w:spacing w:line="520" w:lineRule="exact"/>
              <w:ind w:firstLine="560" w:firstLineChars="200"/>
              <w:rPr>
                <w:color w:val="auto"/>
                <w:sz w:val="28"/>
                <w:szCs w:val="28"/>
              </w:rPr>
            </w:pPr>
            <w:r>
              <w:rPr>
                <w:rFonts w:hint="eastAsia"/>
                <w:color w:val="auto"/>
                <w:sz w:val="28"/>
                <w:szCs w:val="28"/>
              </w:rPr>
              <w:t>施工期的噪声主要来源于包括施工现场的各类机械设备噪声、物料装卸碰撞噪声、施工人员的活动噪声以及物料运输的交通噪声。</w:t>
            </w:r>
          </w:p>
          <w:p>
            <w:pPr>
              <w:spacing w:line="520" w:lineRule="exact"/>
              <w:ind w:firstLine="560" w:firstLineChars="200"/>
              <w:rPr>
                <w:color w:val="auto"/>
                <w:sz w:val="28"/>
                <w:szCs w:val="28"/>
              </w:rPr>
            </w:pPr>
            <w:r>
              <w:rPr>
                <w:color w:val="auto"/>
                <w:sz w:val="28"/>
                <w:szCs w:val="28"/>
              </w:rPr>
              <w:t>防治措施：</w:t>
            </w:r>
          </w:p>
          <w:p>
            <w:pPr>
              <w:pStyle w:val="7"/>
              <w:spacing w:line="520" w:lineRule="exact"/>
              <w:ind w:firstLine="560" w:firstLineChars="200"/>
              <w:jc w:val="both"/>
              <w:rPr>
                <w:color w:val="auto"/>
                <w:sz w:val="28"/>
                <w:szCs w:val="28"/>
              </w:rPr>
            </w:pPr>
            <w:r>
              <w:rPr>
                <w:rFonts w:hint="eastAsia"/>
                <w:color w:val="auto"/>
                <w:kern w:val="2"/>
                <w:sz w:val="28"/>
                <w:szCs w:val="28"/>
              </w:rPr>
              <w:t>（1）</w:t>
            </w:r>
            <w:r>
              <w:rPr>
                <w:rFonts w:hint="eastAsia"/>
                <w:color w:val="auto"/>
                <w:sz w:val="28"/>
                <w:szCs w:val="28"/>
              </w:rPr>
              <w:t>制定施工计划时，应尽可能避免大量噪声设备同时使用，合理安排施工作业时间。</w:t>
            </w:r>
          </w:p>
          <w:p>
            <w:pPr>
              <w:pStyle w:val="7"/>
              <w:spacing w:line="520" w:lineRule="exact"/>
              <w:ind w:firstLine="560" w:firstLineChars="200"/>
              <w:jc w:val="both"/>
              <w:rPr>
                <w:color w:val="auto"/>
                <w:sz w:val="28"/>
                <w:szCs w:val="28"/>
              </w:rPr>
            </w:pPr>
            <w:r>
              <w:rPr>
                <w:rFonts w:hint="eastAsia"/>
                <w:color w:val="auto"/>
                <w:sz w:val="28"/>
                <w:szCs w:val="28"/>
              </w:rPr>
              <w:t>（2）加强对设备的维护、养护，闲置设备应立即关闭。尽可能采用外加工材料，减少现场加工的工作量。</w:t>
            </w:r>
          </w:p>
          <w:p>
            <w:pPr>
              <w:pStyle w:val="7"/>
              <w:spacing w:line="520" w:lineRule="exact"/>
              <w:ind w:firstLine="560" w:firstLineChars="200"/>
              <w:jc w:val="both"/>
              <w:rPr>
                <w:color w:val="auto"/>
                <w:sz w:val="28"/>
                <w:szCs w:val="28"/>
              </w:rPr>
            </w:pPr>
            <w:r>
              <w:rPr>
                <w:rFonts w:hint="eastAsia"/>
                <w:color w:val="auto"/>
                <w:sz w:val="28"/>
                <w:szCs w:val="28"/>
              </w:rPr>
              <w:t>（3）按操作规范操作机械设备等过程中减少碰撞噪声，并对工人进行环保方面的教育。在装卸进程中，禁止野蛮作业，减少作业噪声。</w:t>
            </w:r>
          </w:p>
          <w:p>
            <w:pPr>
              <w:pStyle w:val="7"/>
              <w:spacing w:line="520" w:lineRule="exact"/>
              <w:ind w:firstLine="560" w:firstLineChars="200"/>
              <w:jc w:val="both"/>
              <w:rPr>
                <w:color w:val="auto"/>
              </w:rPr>
            </w:pPr>
            <w:r>
              <w:rPr>
                <w:rFonts w:hint="eastAsia"/>
                <w:color w:val="auto"/>
                <w:sz w:val="28"/>
                <w:szCs w:val="28"/>
              </w:rPr>
              <w:t>（4）场外运输作业尽量在白天进行，施工车辆进入施工场区或途径居民区等敏感点时内应采取减速、禁鸣等措施。</w:t>
            </w:r>
          </w:p>
          <w:p>
            <w:pPr>
              <w:spacing w:line="520" w:lineRule="exact"/>
              <w:ind w:firstLine="560" w:firstLineChars="200"/>
              <w:rPr>
                <w:color w:val="auto"/>
                <w:sz w:val="28"/>
                <w:szCs w:val="28"/>
              </w:rPr>
            </w:pPr>
            <w:r>
              <w:rPr>
                <w:color w:val="auto"/>
                <w:sz w:val="28"/>
                <w:szCs w:val="28"/>
              </w:rPr>
              <w:t>采取上述措施后，场界噪声能达到</w:t>
            </w:r>
            <w:r>
              <w:rPr>
                <w:color w:val="auto"/>
                <w:kern w:val="0"/>
                <w:sz w:val="28"/>
                <w:szCs w:val="28"/>
              </w:rPr>
              <w:t>《工业企业厂界环境噪声排放标准》（GB12348—2008）</w:t>
            </w:r>
            <w:r>
              <w:rPr>
                <w:color w:val="auto"/>
                <w:sz w:val="28"/>
                <w:szCs w:val="28"/>
              </w:rPr>
              <w:t>要求。考虑到施工期的暂时性，且停止夜间施工并采取有效措施控制后，项目对周围环境</w:t>
            </w:r>
            <w:r>
              <w:rPr>
                <w:rFonts w:hint="eastAsia"/>
                <w:color w:val="auto"/>
                <w:sz w:val="28"/>
                <w:szCs w:val="28"/>
              </w:rPr>
              <w:t>造成的声环境影响较小。</w:t>
            </w:r>
          </w:p>
          <w:p>
            <w:pPr>
              <w:spacing w:line="520" w:lineRule="exact"/>
              <w:rPr>
                <w:b/>
                <w:color w:val="auto"/>
                <w:sz w:val="28"/>
                <w:szCs w:val="28"/>
              </w:rPr>
            </w:pPr>
            <w:r>
              <w:rPr>
                <w:rFonts w:hint="eastAsia"/>
                <w:b/>
                <w:color w:val="auto"/>
                <w:sz w:val="28"/>
                <w:szCs w:val="28"/>
              </w:rPr>
              <w:t>4固体废物</w:t>
            </w:r>
          </w:p>
          <w:p>
            <w:pPr>
              <w:spacing w:line="520" w:lineRule="exact"/>
              <w:ind w:firstLine="560" w:firstLineChars="200"/>
              <w:rPr>
                <w:color w:val="auto"/>
                <w:sz w:val="28"/>
                <w:szCs w:val="28"/>
              </w:rPr>
            </w:pPr>
            <w:r>
              <w:rPr>
                <w:color w:val="auto"/>
                <w:sz w:val="28"/>
                <w:szCs w:val="28"/>
              </w:rPr>
              <w:t>建设项目施工期间固体废物分二类，一类为建筑垃圾，另一类为生活垃圾。施工期生活垃圾采取生活垃圾定点堆放、及时收集到指定的垃圾箱内，由环卫部门统一处理等措施，避免造成二次污染。</w:t>
            </w:r>
          </w:p>
          <w:p>
            <w:pPr>
              <w:spacing w:line="520" w:lineRule="exact"/>
              <w:ind w:firstLine="560" w:firstLineChars="200"/>
              <w:rPr>
                <w:bCs/>
                <w:color w:val="auto"/>
                <w:spacing w:val="-10"/>
                <w:sz w:val="28"/>
                <w:szCs w:val="28"/>
              </w:rPr>
            </w:pPr>
            <w:r>
              <w:rPr>
                <w:color w:val="auto"/>
                <w:sz w:val="28"/>
                <w:szCs w:val="28"/>
              </w:rPr>
              <w:t>施工期的建筑垃圾以无机废物为主，主要包括施工中的下脚料，如废弃的堆土、砖瓦等，同时还包括少量包装材料，包括废旧塑料、泡沫等。</w:t>
            </w:r>
            <w:r>
              <w:rPr>
                <w:rFonts w:hint="eastAsia"/>
                <w:color w:val="auto"/>
                <w:sz w:val="28"/>
                <w:szCs w:val="28"/>
                <w:lang w:eastAsia="zh-CN"/>
              </w:rPr>
              <w:t>建筑垃圾</w:t>
            </w:r>
            <w:r>
              <w:rPr>
                <w:color w:val="auto"/>
                <w:sz w:val="28"/>
                <w:szCs w:val="28"/>
              </w:rPr>
              <w:t>应集中处理，分类收集并尽可能的回收再利用，不能回收利用的则应及时</w:t>
            </w:r>
            <w:r>
              <w:rPr>
                <w:rFonts w:hint="eastAsia"/>
                <w:color w:val="auto"/>
                <w:sz w:val="28"/>
                <w:szCs w:val="28"/>
                <w:lang w:eastAsia="zh-CN"/>
              </w:rPr>
              <w:t>清运至当地指定建筑垃圾填埋场</w:t>
            </w:r>
            <w:r>
              <w:rPr>
                <w:color w:val="auto"/>
                <w:sz w:val="28"/>
                <w:szCs w:val="2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914" w:hRule="atLeast"/>
          <w:jc w:val="center"/>
        </w:trPr>
        <w:tc>
          <w:tcPr>
            <w:tcW w:w="837" w:type="dxa"/>
            <w:tcMar>
              <w:left w:w="28" w:type="dxa"/>
              <w:right w:w="28" w:type="dxa"/>
            </w:tcMar>
            <w:vAlign w:val="center"/>
          </w:tcPr>
          <w:p>
            <w:pPr>
              <w:adjustRightInd w:val="0"/>
              <w:snapToGrid w:val="0"/>
              <w:jc w:val="center"/>
              <w:rPr>
                <w:bCs/>
                <w:color w:val="auto"/>
                <w:sz w:val="28"/>
                <w:szCs w:val="28"/>
              </w:rPr>
            </w:pPr>
            <w:r>
              <w:rPr>
                <w:bCs/>
                <w:color w:val="auto"/>
                <w:sz w:val="28"/>
                <w:szCs w:val="28"/>
              </w:rPr>
              <w:t>运营</w:t>
            </w:r>
          </w:p>
          <w:p>
            <w:pPr>
              <w:adjustRightInd w:val="0"/>
              <w:snapToGrid w:val="0"/>
              <w:jc w:val="center"/>
              <w:rPr>
                <w:bCs/>
                <w:color w:val="auto"/>
                <w:sz w:val="28"/>
                <w:szCs w:val="28"/>
              </w:rPr>
            </w:pPr>
            <w:r>
              <w:rPr>
                <w:bCs/>
                <w:color w:val="auto"/>
                <w:sz w:val="28"/>
                <w:szCs w:val="28"/>
              </w:rPr>
              <w:t>期环</w:t>
            </w:r>
          </w:p>
          <w:p>
            <w:pPr>
              <w:adjustRightInd w:val="0"/>
              <w:snapToGrid w:val="0"/>
              <w:jc w:val="center"/>
              <w:rPr>
                <w:bCs/>
                <w:color w:val="auto"/>
                <w:sz w:val="28"/>
                <w:szCs w:val="28"/>
              </w:rPr>
            </w:pPr>
            <w:r>
              <w:rPr>
                <w:bCs/>
                <w:color w:val="auto"/>
                <w:sz w:val="28"/>
                <w:szCs w:val="28"/>
              </w:rPr>
              <w:t>境影</w:t>
            </w:r>
          </w:p>
          <w:p>
            <w:pPr>
              <w:adjustRightInd w:val="0"/>
              <w:snapToGrid w:val="0"/>
              <w:jc w:val="center"/>
              <w:rPr>
                <w:bCs/>
                <w:color w:val="auto"/>
                <w:sz w:val="28"/>
                <w:szCs w:val="28"/>
              </w:rPr>
            </w:pPr>
            <w:r>
              <w:rPr>
                <w:bCs/>
                <w:color w:val="auto"/>
                <w:sz w:val="28"/>
                <w:szCs w:val="28"/>
              </w:rPr>
              <w:t>响和</w:t>
            </w:r>
          </w:p>
          <w:p>
            <w:pPr>
              <w:adjustRightInd w:val="0"/>
              <w:snapToGrid w:val="0"/>
              <w:jc w:val="center"/>
              <w:rPr>
                <w:bCs/>
                <w:color w:val="auto"/>
                <w:sz w:val="28"/>
                <w:szCs w:val="28"/>
              </w:rPr>
            </w:pPr>
            <w:r>
              <w:rPr>
                <w:bCs/>
                <w:color w:val="auto"/>
                <w:sz w:val="28"/>
                <w:szCs w:val="28"/>
              </w:rPr>
              <w:t>保护</w:t>
            </w:r>
          </w:p>
          <w:p>
            <w:pPr>
              <w:adjustRightInd w:val="0"/>
              <w:snapToGrid w:val="0"/>
              <w:jc w:val="center"/>
              <w:rPr>
                <w:bCs/>
                <w:color w:val="auto"/>
                <w:sz w:val="28"/>
                <w:szCs w:val="28"/>
              </w:rPr>
            </w:pPr>
            <w:r>
              <w:rPr>
                <w:bCs/>
                <w:color w:val="auto"/>
                <w:sz w:val="28"/>
                <w:szCs w:val="28"/>
              </w:rPr>
              <w:t>措施</w:t>
            </w:r>
          </w:p>
        </w:tc>
        <w:tc>
          <w:tcPr>
            <w:tcW w:w="8144" w:type="dxa"/>
            <w:vAlign w:val="center"/>
          </w:tcPr>
          <w:p>
            <w:pPr>
              <w:spacing w:line="520" w:lineRule="exact"/>
              <w:ind w:firstLine="560" w:firstLineChars="200"/>
              <w:rPr>
                <w:color w:val="auto"/>
                <w:sz w:val="28"/>
                <w:szCs w:val="28"/>
              </w:rPr>
            </w:pPr>
            <w:r>
              <w:rPr>
                <w:color w:val="auto"/>
                <w:sz w:val="28"/>
                <w:szCs w:val="28"/>
              </w:rPr>
              <w:t>本项目对周围环境的影响主要是废气、噪声和固废。</w:t>
            </w:r>
          </w:p>
          <w:p>
            <w:pPr>
              <w:spacing w:line="520" w:lineRule="exact"/>
              <w:rPr>
                <w:b/>
                <w:color w:val="auto"/>
                <w:kern w:val="0"/>
                <w:sz w:val="28"/>
                <w:szCs w:val="28"/>
              </w:rPr>
            </w:pPr>
            <w:r>
              <w:rPr>
                <w:b/>
                <w:color w:val="auto"/>
                <w:kern w:val="0"/>
                <w:sz w:val="28"/>
                <w:szCs w:val="28"/>
              </w:rPr>
              <w:t>1废气</w:t>
            </w:r>
          </w:p>
          <w:p>
            <w:pPr>
              <w:spacing w:line="500" w:lineRule="exact"/>
              <w:rPr>
                <w:b/>
                <w:bCs/>
                <w:color w:val="auto"/>
                <w:sz w:val="28"/>
                <w:szCs w:val="28"/>
              </w:rPr>
            </w:pPr>
            <w:r>
              <w:rPr>
                <w:rFonts w:hint="eastAsia"/>
                <w:b/>
                <w:bCs/>
                <w:color w:val="auto"/>
                <w:sz w:val="28"/>
                <w:szCs w:val="28"/>
              </w:rPr>
              <w:t>1.1苯板生产过程中产生的有机废气</w:t>
            </w:r>
          </w:p>
          <w:p>
            <w:pPr>
              <w:spacing w:line="520" w:lineRule="exact"/>
              <w:ind w:firstLine="840" w:firstLineChars="300"/>
              <w:rPr>
                <w:color w:val="auto"/>
                <w:sz w:val="28"/>
                <w:szCs w:val="28"/>
              </w:rPr>
            </w:pPr>
            <w:r>
              <w:rPr>
                <w:rFonts w:hint="eastAsia"/>
                <w:color w:val="auto"/>
                <w:sz w:val="28"/>
                <w:szCs w:val="28"/>
              </w:rPr>
              <w:t>苯板生产过程中产生的废气主要为：发泡、熟化、成品工艺期间产生的工艺废气</w:t>
            </w:r>
            <w:r>
              <w:rPr>
                <w:color w:val="auto"/>
              </w:rPr>
              <w:t>。</w:t>
            </w:r>
          </w:p>
          <w:p>
            <w:pPr>
              <w:spacing w:line="520" w:lineRule="exact"/>
              <w:ind w:firstLine="560" w:firstLineChars="200"/>
              <w:rPr>
                <w:color w:val="auto"/>
                <w:sz w:val="28"/>
                <w:szCs w:val="28"/>
              </w:rPr>
            </w:pPr>
            <w:r>
              <w:rPr>
                <w:color w:val="auto"/>
                <w:sz w:val="28"/>
                <w:szCs w:val="28"/>
              </w:rPr>
              <w:t>项目属于C292A泡沫塑料制造，项目排放的挥发性有机物排放量（以非甲烷总烃计）根据《</w:t>
            </w:r>
            <w:r>
              <w:rPr>
                <w:rFonts w:hint="eastAsia"/>
                <w:color w:val="auto"/>
                <w:sz w:val="28"/>
                <w:szCs w:val="28"/>
              </w:rPr>
              <w:t>排放源统计调查产排污核算办法》</w:t>
            </w:r>
            <w:r>
              <w:rPr>
                <w:color w:val="auto"/>
                <w:sz w:val="28"/>
                <w:szCs w:val="28"/>
              </w:rPr>
              <w:t>中</w:t>
            </w:r>
            <w:r>
              <w:rPr>
                <w:rFonts w:hint="eastAsia"/>
                <w:color w:val="auto"/>
                <w:sz w:val="28"/>
                <w:szCs w:val="28"/>
                <w:lang w:eastAsia="zh-CN"/>
              </w:rPr>
              <w:t>“</w:t>
            </w:r>
            <w:r>
              <w:rPr>
                <w:color w:val="auto"/>
                <w:sz w:val="28"/>
                <w:szCs w:val="28"/>
              </w:rPr>
              <w:t>2924泡沫塑料制造行业系数表</w:t>
            </w:r>
            <w:r>
              <w:rPr>
                <w:rFonts w:hint="eastAsia"/>
                <w:color w:val="auto"/>
                <w:sz w:val="28"/>
                <w:szCs w:val="28"/>
                <w:lang w:eastAsia="zh-CN"/>
              </w:rPr>
              <w:t>”</w:t>
            </w:r>
            <w:r>
              <w:rPr>
                <w:color w:val="auto"/>
                <w:sz w:val="28"/>
                <w:szCs w:val="28"/>
              </w:rPr>
              <w:t>进行核算</w:t>
            </w:r>
            <w:r>
              <w:rPr>
                <w:rFonts w:hint="eastAsia"/>
                <w:color w:val="auto"/>
                <w:sz w:val="28"/>
                <w:szCs w:val="28"/>
              </w:rPr>
              <w:t>。</w:t>
            </w:r>
          </w:p>
          <w:p>
            <w:pPr>
              <w:snapToGrid w:val="0"/>
              <w:ind w:firstLine="480" w:firstLineChars="200"/>
              <w:rPr>
                <w:rFonts w:eastAsia="黑体"/>
                <w:color w:val="auto"/>
                <w:sz w:val="24"/>
              </w:rPr>
            </w:pPr>
            <w:r>
              <w:rPr>
                <w:rFonts w:eastAsia="黑体"/>
                <w:color w:val="auto"/>
                <w:sz w:val="24"/>
              </w:rPr>
              <w:t>表</w:t>
            </w:r>
            <w:r>
              <w:rPr>
                <w:rFonts w:hint="eastAsia" w:eastAsia="黑体"/>
                <w:color w:val="auto"/>
                <w:sz w:val="24"/>
              </w:rPr>
              <w:t xml:space="preserve">15 </w:t>
            </w:r>
            <w:r>
              <w:rPr>
                <w:rFonts w:eastAsia="黑体"/>
                <w:color w:val="auto"/>
                <w:sz w:val="24"/>
              </w:rPr>
              <w:t xml:space="preserve">  </w:t>
            </w:r>
            <w:r>
              <w:rPr>
                <w:rFonts w:hint="eastAsia" w:eastAsia="黑体"/>
                <w:color w:val="auto"/>
                <w:sz w:val="24"/>
              </w:rPr>
              <w:t xml:space="preserve">    </w:t>
            </w:r>
            <w:r>
              <w:rPr>
                <w:rFonts w:eastAsia="黑体"/>
                <w:color w:val="auto"/>
                <w:sz w:val="24"/>
              </w:rPr>
              <w:t xml:space="preserve">  2924泡沫塑料制造行业系数表</w:t>
            </w:r>
          </w:p>
          <w:tbl>
            <w:tblPr>
              <w:tblStyle w:val="18"/>
              <w:tblW w:w="7934"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30"/>
              <w:gridCol w:w="750"/>
              <w:gridCol w:w="813"/>
              <w:gridCol w:w="687"/>
              <w:gridCol w:w="775"/>
              <w:gridCol w:w="813"/>
              <w:gridCol w:w="892"/>
              <w:gridCol w:w="701"/>
              <w:gridCol w:w="734"/>
              <w:gridCol w:w="103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730" w:type="dxa"/>
                  <w:vAlign w:val="center"/>
                </w:tcPr>
                <w:p>
                  <w:pPr>
                    <w:widowControl/>
                    <w:jc w:val="center"/>
                    <w:rPr>
                      <w:color w:val="auto"/>
                      <w:szCs w:val="22"/>
                    </w:rPr>
                  </w:pPr>
                  <w:r>
                    <w:rPr>
                      <w:rFonts w:hint="eastAsia"/>
                      <w:color w:val="auto"/>
                      <w:szCs w:val="22"/>
                    </w:rPr>
                    <w:t>产品名称</w:t>
                  </w:r>
                </w:p>
              </w:tc>
              <w:tc>
                <w:tcPr>
                  <w:tcW w:w="750" w:type="dxa"/>
                  <w:vAlign w:val="center"/>
                </w:tcPr>
                <w:p>
                  <w:pPr>
                    <w:widowControl/>
                    <w:jc w:val="center"/>
                    <w:rPr>
                      <w:color w:val="auto"/>
                      <w:szCs w:val="22"/>
                    </w:rPr>
                  </w:pPr>
                  <w:r>
                    <w:rPr>
                      <w:rFonts w:hint="eastAsia"/>
                      <w:color w:val="auto"/>
                      <w:szCs w:val="22"/>
                    </w:rPr>
                    <w:t>原料名称</w:t>
                  </w:r>
                </w:p>
              </w:tc>
              <w:tc>
                <w:tcPr>
                  <w:tcW w:w="813" w:type="dxa"/>
                  <w:vAlign w:val="center"/>
                </w:tcPr>
                <w:p>
                  <w:pPr>
                    <w:widowControl/>
                    <w:jc w:val="center"/>
                    <w:rPr>
                      <w:color w:val="auto"/>
                      <w:szCs w:val="22"/>
                    </w:rPr>
                  </w:pPr>
                  <w:r>
                    <w:rPr>
                      <w:rFonts w:hint="eastAsia"/>
                      <w:color w:val="auto"/>
                      <w:szCs w:val="22"/>
                    </w:rPr>
                    <w:t>工艺名称</w:t>
                  </w:r>
                </w:p>
              </w:tc>
              <w:tc>
                <w:tcPr>
                  <w:tcW w:w="687" w:type="dxa"/>
                  <w:vAlign w:val="center"/>
                </w:tcPr>
                <w:p>
                  <w:pPr>
                    <w:widowControl/>
                    <w:jc w:val="center"/>
                    <w:rPr>
                      <w:color w:val="auto"/>
                      <w:szCs w:val="22"/>
                    </w:rPr>
                  </w:pPr>
                  <w:r>
                    <w:rPr>
                      <w:rFonts w:hint="eastAsia"/>
                      <w:color w:val="auto"/>
                      <w:szCs w:val="22"/>
                    </w:rPr>
                    <w:t>规模等级</w:t>
                  </w:r>
                </w:p>
              </w:tc>
              <w:tc>
                <w:tcPr>
                  <w:tcW w:w="775" w:type="dxa"/>
                  <w:vAlign w:val="center"/>
                </w:tcPr>
                <w:p>
                  <w:pPr>
                    <w:widowControl/>
                    <w:jc w:val="center"/>
                    <w:rPr>
                      <w:color w:val="auto"/>
                      <w:szCs w:val="22"/>
                    </w:rPr>
                  </w:pPr>
                  <w:r>
                    <w:rPr>
                      <w:rFonts w:hint="eastAsia"/>
                      <w:color w:val="auto"/>
                      <w:szCs w:val="22"/>
                    </w:rPr>
                    <w:t>污染物类别</w:t>
                  </w:r>
                </w:p>
              </w:tc>
              <w:tc>
                <w:tcPr>
                  <w:tcW w:w="813" w:type="dxa"/>
                  <w:vAlign w:val="center"/>
                </w:tcPr>
                <w:p>
                  <w:pPr>
                    <w:widowControl/>
                    <w:jc w:val="center"/>
                    <w:rPr>
                      <w:color w:val="auto"/>
                      <w:szCs w:val="22"/>
                    </w:rPr>
                  </w:pPr>
                  <w:r>
                    <w:rPr>
                      <w:rFonts w:hint="eastAsia"/>
                      <w:color w:val="auto"/>
                      <w:szCs w:val="22"/>
                    </w:rPr>
                    <w:t>污染物指标</w:t>
                  </w:r>
                </w:p>
              </w:tc>
              <w:tc>
                <w:tcPr>
                  <w:tcW w:w="892" w:type="dxa"/>
                  <w:vAlign w:val="center"/>
                </w:tcPr>
                <w:p>
                  <w:pPr>
                    <w:widowControl/>
                    <w:jc w:val="center"/>
                    <w:rPr>
                      <w:color w:val="auto"/>
                      <w:szCs w:val="22"/>
                    </w:rPr>
                  </w:pPr>
                  <w:r>
                    <w:rPr>
                      <w:rFonts w:hint="eastAsia"/>
                      <w:color w:val="auto"/>
                      <w:szCs w:val="22"/>
                    </w:rPr>
                    <w:t>单位</w:t>
                  </w:r>
                </w:p>
              </w:tc>
              <w:tc>
                <w:tcPr>
                  <w:tcW w:w="701" w:type="dxa"/>
                  <w:vAlign w:val="center"/>
                </w:tcPr>
                <w:p>
                  <w:pPr>
                    <w:widowControl/>
                    <w:jc w:val="center"/>
                    <w:rPr>
                      <w:color w:val="auto"/>
                      <w:szCs w:val="22"/>
                    </w:rPr>
                  </w:pPr>
                  <w:r>
                    <w:rPr>
                      <w:rFonts w:hint="eastAsia"/>
                      <w:color w:val="auto"/>
                      <w:szCs w:val="22"/>
                    </w:rPr>
                    <w:t>产污系数</w:t>
                  </w:r>
                </w:p>
              </w:tc>
              <w:tc>
                <w:tcPr>
                  <w:tcW w:w="734" w:type="dxa"/>
                  <w:vAlign w:val="center"/>
                </w:tcPr>
                <w:p>
                  <w:pPr>
                    <w:widowControl/>
                    <w:jc w:val="center"/>
                    <w:rPr>
                      <w:color w:val="auto"/>
                      <w:szCs w:val="22"/>
                    </w:rPr>
                  </w:pPr>
                  <w:r>
                    <w:rPr>
                      <w:rFonts w:hint="eastAsia"/>
                      <w:color w:val="auto"/>
                      <w:szCs w:val="22"/>
                    </w:rPr>
                    <w:t>治理措施</w:t>
                  </w:r>
                </w:p>
              </w:tc>
              <w:tc>
                <w:tcPr>
                  <w:tcW w:w="1039" w:type="dxa"/>
                  <w:vAlign w:val="center"/>
                </w:tcPr>
                <w:p>
                  <w:pPr>
                    <w:widowControl/>
                    <w:jc w:val="center"/>
                    <w:rPr>
                      <w:color w:val="auto"/>
                      <w:szCs w:val="22"/>
                    </w:rPr>
                  </w:pPr>
                  <w:r>
                    <w:rPr>
                      <w:rFonts w:hint="eastAsia"/>
                      <w:color w:val="auto"/>
                      <w:szCs w:val="22"/>
                    </w:rPr>
                    <w:t>治理措施效率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730" w:type="dxa"/>
                  <w:vMerge w:val="restart"/>
                  <w:vAlign w:val="center"/>
                </w:tcPr>
                <w:p>
                  <w:pPr>
                    <w:widowControl/>
                    <w:jc w:val="center"/>
                    <w:rPr>
                      <w:color w:val="auto"/>
                      <w:szCs w:val="22"/>
                    </w:rPr>
                  </w:pPr>
                  <w:r>
                    <w:rPr>
                      <w:rFonts w:hint="eastAsia"/>
                      <w:color w:val="auto"/>
                      <w:szCs w:val="22"/>
                    </w:rPr>
                    <w:t>泡沫塑料</w:t>
                  </w:r>
                </w:p>
              </w:tc>
              <w:tc>
                <w:tcPr>
                  <w:tcW w:w="750" w:type="dxa"/>
                  <w:vMerge w:val="restart"/>
                  <w:vAlign w:val="center"/>
                </w:tcPr>
                <w:p>
                  <w:pPr>
                    <w:widowControl/>
                    <w:jc w:val="center"/>
                    <w:rPr>
                      <w:color w:val="auto"/>
                      <w:szCs w:val="22"/>
                    </w:rPr>
                  </w:pPr>
                  <w:r>
                    <w:rPr>
                      <w:rFonts w:hint="eastAsia"/>
                      <w:color w:val="auto"/>
                      <w:szCs w:val="22"/>
                    </w:rPr>
                    <w:t>二异氰酸酯，多元醇，EPS，PE，发泡剂</w:t>
                  </w:r>
                </w:p>
              </w:tc>
              <w:tc>
                <w:tcPr>
                  <w:tcW w:w="813" w:type="dxa"/>
                  <w:vMerge w:val="restart"/>
                  <w:vAlign w:val="center"/>
                </w:tcPr>
                <w:p>
                  <w:pPr>
                    <w:widowControl/>
                    <w:jc w:val="center"/>
                    <w:rPr>
                      <w:color w:val="auto"/>
                      <w:szCs w:val="22"/>
                    </w:rPr>
                  </w:pPr>
                  <w:r>
                    <w:rPr>
                      <w:rFonts w:hint="eastAsia"/>
                      <w:color w:val="auto"/>
                      <w:szCs w:val="22"/>
                    </w:rPr>
                    <w:t>模塑发泡</w:t>
                  </w:r>
                </w:p>
              </w:tc>
              <w:tc>
                <w:tcPr>
                  <w:tcW w:w="687" w:type="dxa"/>
                  <w:vMerge w:val="restart"/>
                  <w:vAlign w:val="center"/>
                </w:tcPr>
                <w:p>
                  <w:pPr>
                    <w:widowControl/>
                    <w:jc w:val="center"/>
                    <w:rPr>
                      <w:color w:val="auto"/>
                      <w:szCs w:val="22"/>
                    </w:rPr>
                  </w:pPr>
                  <w:r>
                    <w:rPr>
                      <w:rFonts w:hint="eastAsia"/>
                      <w:color w:val="auto"/>
                      <w:szCs w:val="22"/>
                    </w:rPr>
                    <w:t>所有规模</w:t>
                  </w:r>
                </w:p>
              </w:tc>
              <w:tc>
                <w:tcPr>
                  <w:tcW w:w="775" w:type="dxa"/>
                  <w:vMerge w:val="restart"/>
                  <w:vAlign w:val="center"/>
                </w:tcPr>
                <w:p>
                  <w:pPr>
                    <w:widowControl/>
                    <w:jc w:val="center"/>
                    <w:rPr>
                      <w:color w:val="auto"/>
                      <w:szCs w:val="22"/>
                    </w:rPr>
                  </w:pPr>
                  <w:r>
                    <w:rPr>
                      <w:rFonts w:hint="eastAsia"/>
                      <w:color w:val="auto"/>
                      <w:szCs w:val="22"/>
                    </w:rPr>
                    <w:t>废气</w:t>
                  </w:r>
                </w:p>
              </w:tc>
              <w:tc>
                <w:tcPr>
                  <w:tcW w:w="813" w:type="dxa"/>
                  <w:vAlign w:val="center"/>
                </w:tcPr>
                <w:p>
                  <w:pPr>
                    <w:widowControl/>
                    <w:jc w:val="center"/>
                    <w:rPr>
                      <w:color w:val="auto"/>
                      <w:szCs w:val="22"/>
                    </w:rPr>
                  </w:pPr>
                  <w:r>
                    <w:rPr>
                      <w:rFonts w:hint="eastAsia"/>
                      <w:color w:val="auto"/>
                      <w:szCs w:val="22"/>
                    </w:rPr>
                    <w:t>工业废气量</w:t>
                  </w:r>
                </w:p>
              </w:tc>
              <w:tc>
                <w:tcPr>
                  <w:tcW w:w="892" w:type="dxa"/>
                  <w:vAlign w:val="center"/>
                </w:tcPr>
                <w:p>
                  <w:pPr>
                    <w:widowControl/>
                    <w:jc w:val="center"/>
                    <w:rPr>
                      <w:color w:val="auto"/>
                      <w:szCs w:val="22"/>
                    </w:rPr>
                  </w:pPr>
                  <w:r>
                    <w:rPr>
                      <w:rFonts w:hint="eastAsia"/>
                      <w:color w:val="auto"/>
                      <w:szCs w:val="22"/>
                    </w:rPr>
                    <w:t>标立方米/吨-产品</w:t>
                  </w:r>
                </w:p>
              </w:tc>
              <w:tc>
                <w:tcPr>
                  <w:tcW w:w="701" w:type="dxa"/>
                  <w:vAlign w:val="center"/>
                </w:tcPr>
                <w:p>
                  <w:pPr>
                    <w:widowControl/>
                    <w:jc w:val="center"/>
                    <w:rPr>
                      <w:color w:val="auto"/>
                      <w:szCs w:val="22"/>
                      <w:vertAlign w:val="superscript"/>
                    </w:rPr>
                  </w:pPr>
                  <w:r>
                    <w:rPr>
                      <w:rFonts w:hint="eastAsia"/>
                      <w:color w:val="auto"/>
                      <w:szCs w:val="22"/>
                    </w:rPr>
                    <w:t>3.00×10</w:t>
                  </w:r>
                  <w:r>
                    <w:rPr>
                      <w:rFonts w:hint="eastAsia"/>
                      <w:color w:val="auto"/>
                      <w:szCs w:val="22"/>
                      <w:vertAlign w:val="superscript"/>
                    </w:rPr>
                    <w:t>5</w:t>
                  </w:r>
                </w:p>
              </w:tc>
              <w:tc>
                <w:tcPr>
                  <w:tcW w:w="734" w:type="dxa"/>
                  <w:vAlign w:val="center"/>
                </w:tcPr>
                <w:p>
                  <w:pPr>
                    <w:widowControl/>
                    <w:jc w:val="center"/>
                    <w:rPr>
                      <w:color w:val="auto"/>
                      <w:szCs w:val="22"/>
                    </w:rPr>
                  </w:pPr>
                  <w:r>
                    <w:rPr>
                      <w:rFonts w:hint="eastAsia"/>
                      <w:color w:val="auto"/>
                      <w:szCs w:val="22"/>
                    </w:rPr>
                    <w:t>/</w:t>
                  </w:r>
                </w:p>
              </w:tc>
              <w:tc>
                <w:tcPr>
                  <w:tcW w:w="1039" w:type="dxa"/>
                  <w:vAlign w:val="center"/>
                </w:tcPr>
                <w:p>
                  <w:pPr>
                    <w:widowControl/>
                    <w:jc w:val="center"/>
                    <w:rPr>
                      <w:color w:val="auto"/>
                      <w:szCs w:val="22"/>
                    </w:rPr>
                  </w:pPr>
                  <w:r>
                    <w:rPr>
                      <w:rFonts w:hint="eastAsia"/>
                      <w:color w:val="auto"/>
                      <w:szCs w:val="22"/>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685" w:hRule="atLeast"/>
              </w:trPr>
              <w:tc>
                <w:tcPr>
                  <w:tcW w:w="730" w:type="dxa"/>
                  <w:vMerge w:val="continue"/>
                  <w:vAlign w:val="center"/>
                </w:tcPr>
                <w:p>
                  <w:pPr>
                    <w:widowControl/>
                    <w:jc w:val="center"/>
                    <w:rPr>
                      <w:color w:val="auto"/>
                      <w:szCs w:val="22"/>
                    </w:rPr>
                  </w:pPr>
                </w:p>
              </w:tc>
              <w:tc>
                <w:tcPr>
                  <w:tcW w:w="750" w:type="dxa"/>
                  <w:vMerge w:val="continue"/>
                  <w:vAlign w:val="center"/>
                </w:tcPr>
                <w:p>
                  <w:pPr>
                    <w:widowControl/>
                    <w:jc w:val="center"/>
                    <w:rPr>
                      <w:color w:val="auto"/>
                      <w:szCs w:val="22"/>
                    </w:rPr>
                  </w:pPr>
                </w:p>
              </w:tc>
              <w:tc>
                <w:tcPr>
                  <w:tcW w:w="813" w:type="dxa"/>
                  <w:vMerge w:val="continue"/>
                  <w:vAlign w:val="center"/>
                </w:tcPr>
                <w:p>
                  <w:pPr>
                    <w:widowControl/>
                    <w:jc w:val="center"/>
                    <w:rPr>
                      <w:color w:val="auto"/>
                      <w:szCs w:val="22"/>
                    </w:rPr>
                  </w:pPr>
                </w:p>
              </w:tc>
              <w:tc>
                <w:tcPr>
                  <w:tcW w:w="687" w:type="dxa"/>
                  <w:vMerge w:val="continue"/>
                  <w:vAlign w:val="center"/>
                </w:tcPr>
                <w:p>
                  <w:pPr>
                    <w:widowControl/>
                    <w:jc w:val="center"/>
                    <w:rPr>
                      <w:color w:val="auto"/>
                      <w:szCs w:val="22"/>
                    </w:rPr>
                  </w:pPr>
                </w:p>
              </w:tc>
              <w:tc>
                <w:tcPr>
                  <w:tcW w:w="775" w:type="dxa"/>
                  <w:vMerge w:val="continue"/>
                  <w:vAlign w:val="center"/>
                </w:tcPr>
                <w:p>
                  <w:pPr>
                    <w:widowControl/>
                    <w:jc w:val="center"/>
                    <w:rPr>
                      <w:color w:val="auto"/>
                      <w:szCs w:val="22"/>
                    </w:rPr>
                  </w:pPr>
                </w:p>
              </w:tc>
              <w:tc>
                <w:tcPr>
                  <w:tcW w:w="813" w:type="dxa"/>
                  <w:vAlign w:val="center"/>
                </w:tcPr>
                <w:p>
                  <w:pPr>
                    <w:widowControl/>
                    <w:jc w:val="center"/>
                    <w:rPr>
                      <w:color w:val="auto"/>
                      <w:szCs w:val="22"/>
                    </w:rPr>
                  </w:pPr>
                  <w:r>
                    <w:rPr>
                      <w:rFonts w:hint="eastAsia"/>
                      <w:color w:val="auto"/>
                      <w:szCs w:val="22"/>
                    </w:rPr>
                    <w:t>挥发性有机物</w:t>
                  </w:r>
                </w:p>
              </w:tc>
              <w:tc>
                <w:tcPr>
                  <w:tcW w:w="892" w:type="dxa"/>
                  <w:vAlign w:val="center"/>
                </w:tcPr>
                <w:p>
                  <w:pPr>
                    <w:widowControl/>
                    <w:jc w:val="center"/>
                    <w:rPr>
                      <w:color w:val="auto"/>
                      <w:szCs w:val="22"/>
                    </w:rPr>
                  </w:pPr>
                  <w:r>
                    <w:rPr>
                      <w:rFonts w:hint="eastAsia"/>
                      <w:color w:val="auto"/>
                      <w:szCs w:val="22"/>
                    </w:rPr>
                    <w:t>千克/吨-产品</w:t>
                  </w:r>
                </w:p>
              </w:tc>
              <w:tc>
                <w:tcPr>
                  <w:tcW w:w="701" w:type="dxa"/>
                  <w:vAlign w:val="center"/>
                </w:tcPr>
                <w:p>
                  <w:pPr>
                    <w:widowControl/>
                    <w:jc w:val="center"/>
                    <w:rPr>
                      <w:color w:val="auto"/>
                      <w:szCs w:val="22"/>
                    </w:rPr>
                  </w:pPr>
                  <w:r>
                    <w:rPr>
                      <w:rFonts w:hint="eastAsia"/>
                      <w:color w:val="auto"/>
                      <w:szCs w:val="22"/>
                    </w:rPr>
                    <w:t>30</w:t>
                  </w:r>
                </w:p>
              </w:tc>
              <w:tc>
                <w:tcPr>
                  <w:tcW w:w="734" w:type="dxa"/>
                  <w:vAlign w:val="center"/>
                </w:tcPr>
                <w:p>
                  <w:pPr>
                    <w:widowControl/>
                    <w:jc w:val="center"/>
                    <w:rPr>
                      <w:color w:val="auto"/>
                      <w:szCs w:val="22"/>
                    </w:rPr>
                  </w:pPr>
                  <w:r>
                    <w:rPr>
                      <w:rFonts w:hint="eastAsia"/>
                      <w:color w:val="auto"/>
                      <w:szCs w:val="22"/>
                    </w:rPr>
                    <w:t>光催化+活性炭吸附</w:t>
                  </w:r>
                </w:p>
              </w:tc>
              <w:tc>
                <w:tcPr>
                  <w:tcW w:w="1039" w:type="dxa"/>
                  <w:vAlign w:val="center"/>
                </w:tcPr>
                <w:p>
                  <w:pPr>
                    <w:widowControl/>
                    <w:jc w:val="center"/>
                    <w:rPr>
                      <w:color w:val="auto"/>
                      <w:szCs w:val="22"/>
                    </w:rPr>
                  </w:pPr>
                  <w:r>
                    <w:rPr>
                      <w:rFonts w:hint="eastAsia"/>
                      <w:color w:val="auto"/>
                      <w:szCs w:val="22"/>
                    </w:rPr>
                    <w:t>24%</w:t>
                  </w:r>
                  <w:r>
                    <w:rPr>
                      <w:rFonts w:hint="eastAsia"/>
                      <w:color w:val="auto"/>
                    </w:rPr>
                    <w:t>（</w:t>
                  </w:r>
                  <w:r>
                    <w:rPr>
                      <w:rFonts w:hint="eastAsia"/>
                      <w:color w:val="auto"/>
                      <w:szCs w:val="22"/>
                    </w:rPr>
                    <w:t>已考虑行业废气平均收集效率</w:t>
                  </w:r>
                  <w:r>
                    <w:rPr>
                      <w:rFonts w:hint="eastAsia"/>
                      <w:color w:val="auto"/>
                    </w:rPr>
                    <w:t>）</w:t>
                  </w:r>
                </w:p>
              </w:tc>
            </w:tr>
          </w:tbl>
          <w:p>
            <w:pPr>
              <w:spacing w:line="520" w:lineRule="exact"/>
              <w:ind w:firstLine="560" w:firstLineChars="200"/>
              <w:rPr>
                <w:color w:val="auto"/>
                <w:sz w:val="28"/>
                <w:szCs w:val="28"/>
              </w:rPr>
            </w:pPr>
            <w:r>
              <w:rPr>
                <w:rFonts w:hint="eastAsia"/>
                <w:color w:val="auto"/>
                <w:sz w:val="28"/>
                <w:szCs w:val="28"/>
              </w:rPr>
              <w:t>项目年产苯板5000m</w:t>
            </w:r>
            <w:r>
              <w:rPr>
                <w:rFonts w:hint="eastAsia"/>
                <w:color w:val="auto"/>
                <w:sz w:val="28"/>
                <w:szCs w:val="28"/>
                <w:vertAlign w:val="superscript"/>
              </w:rPr>
              <w:t>3</w:t>
            </w:r>
            <w:r>
              <w:rPr>
                <w:rFonts w:hint="eastAsia"/>
                <w:color w:val="auto"/>
                <w:sz w:val="28"/>
                <w:szCs w:val="28"/>
              </w:rPr>
              <w:t>，质量约为100t，年生产工业废气量为3×10</w:t>
            </w:r>
            <w:r>
              <w:rPr>
                <w:rFonts w:hint="eastAsia"/>
                <w:color w:val="auto"/>
                <w:sz w:val="28"/>
                <w:szCs w:val="28"/>
                <w:vertAlign w:val="superscript"/>
              </w:rPr>
              <w:t>7</w:t>
            </w:r>
            <w:r>
              <w:rPr>
                <w:rFonts w:hint="eastAsia"/>
                <w:color w:val="auto"/>
                <w:sz w:val="28"/>
                <w:szCs w:val="28"/>
              </w:rPr>
              <w:t>m</w:t>
            </w:r>
            <w:r>
              <w:rPr>
                <w:rFonts w:hint="eastAsia"/>
                <w:color w:val="auto"/>
                <w:sz w:val="28"/>
                <w:szCs w:val="28"/>
                <w:vertAlign w:val="superscript"/>
              </w:rPr>
              <w:t>3</w:t>
            </w:r>
            <w:r>
              <w:rPr>
                <w:rFonts w:hint="eastAsia"/>
                <w:color w:val="auto"/>
                <w:sz w:val="28"/>
                <w:szCs w:val="28"/>
              </w:rPr>
              <w:t>/a，挥发性有机物（以非甲烷总烃计）及工业废气量的计算结果见下表：</w:t>
            </w:r>
          </w:p>
          <w:p>
            <w:pPr>
              <w:pStyle w:val="17"/>
              <w:spacing w:after="0"/>
              <w:ind w:left="0" w:leftChars="0" w:firstLine="480"/>
              <w:rPr>
                <w:color w:val="auto"/>
              </w:rPr>
            </w:pPr>
            <w:r>
              <w:rPr>
                <w:rFonts w:eastAsia="黑体"/>
                <w:color w:val="auto"/>
                <w:szCs w:val="24"/>
              </w:rPr>
              <w:t>表</w:t>
            </w:r>
            <w:r>
              <w:rPr>
                <w:rFonts w:hint="eastAsia" w:eastAsia="黑体"/>
                <w:color w:val="auto"/>
                <w:szCs w:val="24"/>
              </w:rPr>
              <w:t xml:space="preserve">16   </w:t>
            </w:r>
            <w:r>
              <w:rPr>
                <w:rFonts w:eastAsia="黑体"/>
                <w:color w:val="auto"/>
                <w:szCs w:val="24"/>
              </w:rPr>
              <w:t xml:space="preserve">  </w:t>
            </w:r>
            <w:r>
              <w:rPr>
                <w:rFonts w:hint="eastAsia" w:eastAsia="黑体"/>
                <w:color w:val="auto"/>
                <w:szCs w:val="24"/>
              </w:rPr>
              <w:t xml:space="preserve">     </w:t>
            </w:r>
            <w:r>
              <w:rPr>
                <w:rFonts w:eastAsia="黑体"/>
                <w:color w:val="auto"/>
                <w:szCs w:val="24"/>
              </w:rPr>
              <w:t xml:space="preserve">   </w:t>
            </w:r>
            <w:r>
              <w:rPr>
                <w:rFonts w:hint="eastAsia" w:eastAsia="黑体"/>
                <w:color w:val="auto"/>
                <w:szCs w:val="24"/>
              </w:rPr>
              <w:t>挥发性有机物产排情况</w:t>
            </w:r>
          </w:p>
          <w:tbl>
            <w:tblPr>
              <w:tblStyle w:val="18"/>
              <w:tblW w:w="7997"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0" w:type="dxa"/>
                <w:bottom w:w="0" w:type="dxa"/>
                <w:right w:w="0" w:type="dxa"/>
              </w:tblCellMar>
            </w:tblPr>
            <w:tblGrid>
              <w:gridCol w:w="1027"/>
              <w:gridCol w:w="724"/>
              <w:gridCol w:w="1031"/>
              <w:gridCol w:w="979"/>
              <w:gridCol w:w="1618"/>
              <w:gridCol w:w="1309"/>
              <w:gridCol w:w="130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910" w:hRule="atLeast"/>
                <w:jc w:val="center"/>
              </w:trPr>
              <w:tc>
                <w:tcPr>
                  <w:tcW w:w="1027" w:type="dxa"/>
                  <w:vAlign w:val="center"/>
                </w:tcPr>
                <w:p>
                  <w:pPr>
                    <w:jc w:val="center"/>
                    <w:rPr>
                      <w:color w:val="auto"/>
                      <w:szCs w:val="21"/>
                    </w:rPr>
                  </w:pPr>
                  <w:r>
                    <w:rPr>
                      <w:rFonts w:hint="eastAsia"/>
                      <w:color w:val="auto"/>
                      <w:szCs w:val="21"/>
                    </w:rPr>
                    <w:t>污染物名称</w:t>
                  </w:r>
                </w:p>
              </w:tc>
              <w:tc>
                <w:tcPr>
                  <w:tcW w:w="724" w:type="dxa"/>
                  <w:vAlign w:val="center"/>
                </w:tcPr>
                <w:p>
                  <w:pPr>
                    <w:jc w:val="center"/>
                    <w:rPr>
                      <w:color w:val="auto"/>
                      <w:szCs w:val="21"/>
                    </w:rPr>
                  </w:pPr>
                  <w:r>
                    <w:rPr>
                      <w:rFonts w:hint="eastAsia"/>
                      <w:color w:val="auto"/>
                      <w:szCs w:val="21"/>
                    </w:rPr>
                    <w:t>产生量</w:t>
                  </w:r>
                </w:p>
              </w:tc>
              <w:tc>
                <w:tcPr>
                  <w:tcW w:w="1031" w:type="dxa"/>
                  <w:vAlign w:val="center"/>
                </w:tcPr>
                <w:p>
                  <w:pPr>
                    <w:jc w:val="center"/>
                    <w:rPr>
                      <w:color w:val="auto"/>
                      <w:szCs w:val="21"/>
                    </w:rPr>
                  </w:pPr>
                  <w:r>
                    <w:rPr>
                      <w:rFonts w:hint="eastAsia"/>
                      <w:color w:val="auto"/>
                      <w:szCs w:val="21"/>
                    </w:rPr>
                    <w:t>产生浓度</w:t>
                  </w:r>
                </w:p>
              </w:tc>
              <w:tc>
                <w:tcPr>
                  <w:tcW w:w="979" w:type="dxa"/>
                  <w:vAlign w:val="center"/>
                </w:tcPr>
                <w:p>
                  <w:pPr>
                    <w:jc w:val="center"/>
                    <w:rPr>
                      <w:color w:val="auto"/>
                      <w:szCs w:val="21"/>
                    </w:rPr>
                  </w:pPr>
                  <w:r>
                    <w:rPr>
                      <w:rFonts w:hint="eastAsia"/>
                      <w:color w:val="auto"/>
                      <w:szCs w:val="21"/>
                    </w:rPr>
                    <w:t>治理措施</w:t>
                  </w:r>
                </w:p>
              </w:tc>
              <w:tc>
                <w:tcPr>
                  <w:tcW w:w="1618" w:type="dxa"/>
                  <w:vAlign w:val="center"/>
                </w:tcPr>
                <w:p>
                  <w:pPr>
                    <w:jc w:val="center"/>
                    <w:rPr>
                      <w:color w:val="auto"/>
                      <w:szCs w:val="21"/>
                    </w:rPr>
                  </w:pPr>
                  <w:r>
                    <w:rPr>
                      <w:rFonts w:hint="eastAsia"/>
                      <w:color w:val="auto"/>
                      <w:szCs w:val="21"/>
                    </w:rPr>
                    <w:t>去除效率</w:t>
                  </w:r>
                </w:p>
              </w:tc>
              <w:tc>
                <w:tcPr>
                  <w:tcW w:w="1309" w:type="dxa"/>
                  <w:vAlign w:val="center"/>
                </w:tcPr>
                <w:p>
                  <w:pPr>
                    <w:jc w:val="center"/>
                    <w:rPr>
                      <w:color w:val="auto"/>
                      <w:szCs w:val="21"/>
                    </w:rPr>
                  </w:pPr>
                  <w:r>
                    <w:rPr>
                      <w:rFonts w:hint="eastAsia"/>
                      <w:color w:val="auto"/>
                      <w:szCs w:val="21"/>
                    </w:rPr>
                    <w:t>排放量</w:t>
                  </w:r>
                </w:p>
              </w:tc>
              <w:tc>
                <w:tcPr>
                  <w:tcW w:w="1309" w:type="dxa"/>
                  <w:vAlign w:val="center"/>
                </w:tcPr>
                <w:p>
                  <w:pPr>
                    <w:jc w:val="center"/>
                    <w:rPr>
                      <w:color w:val="auto"/>
                      <w:szCs w:val="21"/>
                    </w:rPr>
                  </w:pPr>
                  <w:r>
                    <w:rPr>
                      <w:rFonts w:hint="eastAsia"/>
                      <w:color w:val="auto"/>
                      <w:szCs w:val="21"/>
                    </w:rPr>
                    <w:t>排放浓度</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78" w:hRule="atLeast"/>
                <w:jc w:val="center"/>
              </w:trPr>
              <w:tc>
                <w:tcPr>
                  <w:tcW w:w="1027" w:type="dxa"/>
                  <w:vMerge w:val="restart"/>
                  <w:vAlign w:val="center"/>
                </w:tcPr>
                <w:p>
                  <w:pPr>
                    <w:jc w:val="center"/>
                    <w:rPr>
                      <w:color w:val="auto"/>
                      <w:szCs w:val="21"/>
                    </w:rPr>
                  </w:pPr>
                  <w:r>
                    <w:rPr>
                      <w:rFonts w:hint="eastAsia"/>
                      <w:color w:val="auto"/>
                      <w:szCs w:val="21"/>
                    </w:rPr>
                    <w:t>挥发性有机物</w:t>
                  </w:r>
                </w:p>
              </w:tc>
              <w:tc>
                <w:tcPr>
                  <w:tcW w:w="724" w:type="dxa"/>
                  <w:vMerge w:val="restart"/>
                  <w:vAlign w:val="center"/>
                </w:tcPr>
                <w:p>
                  <w:pPr>
                    <w:jc w:val="center"/>
                    <w:rPr>
                      <w:color w:val="auto"/>
                      <w:szCs w:val="21"/>
                    </w:rPr>
                  </w:pPr>
                  <w:r>
                    <w:rPr>
                      <w:rFonts w:hint="eastAsia"/>
                      <w:color w:val="auto"/>
                      <w:szCs w:val="21"/>
                    </w:rPr>
                    <w:t>3t/a</w:t>
                  </w:r>
                </w:p>
              </w:tc>
              <w:tc>
                <w:tcPr>
                  <w:tcW w:w="1031" w:type="dxa"/>
                  <w:vMerge w:val="restart"/>
                  <w:vAlign w:val="center"/>
                </w:tcPr>
                <w:p>
                  <w:pPr>
                    <w:jc w:val="center"/>
                    <w:rPr>
                      <w:color w:val="auto"/>
                      <w:szCs w:val="21"/>
                      <w:vertAlign w:val="superscript"/>
                    </w:rPr>
                  </w:pPr>
                  <w:r>
                    <w:rPr>
                      <w:rFonts w:hint="eastAsia"/>
                      <w:color w:val="auto"/>
                      <w:szCs w:val="21"/>
                    </w:rPr>
                    <w:t>100mg/m</w:t>
                  </w:r>
                  <w:r>
                    <w:rPr>
                      <w:rFonts w:hint="eastAsia"/>
                      <w:color w:val="auto"/>
                      <w:szCs w:val="21"/>
                      <w:vertAlign w:val="superscript"/>
                    </w:rPr>
                    <w:t>3</w:t>
                  </w:r>
                </w:p>
              </w:tc>
              <w:tc>
                <w:tcPr>
                  <w:tcW w:w="979" w:type="dxa"/>
                  <w:vMerge w:val="restart"/>
                  <w:vAlign w:val="center"/>
                </w:tcPr>
                <w:p>
                  <w:pPr>
                    <w:jc w:val="center"/>
                    <w:rPr>
                      <w:color w:val="auto"/>
                      <w:szCs w:val="21"/>
                    </w:rPr>
                  </w:pPr>
                  <w:r>
                    <w:rPr>
                      <w:rFonts w:hint="eastAsia"/>
                      <w:color w:val="auto"/>
                      <w:szCs w:val="22"/>
                    </w:rPr>
                    <w:t>光催化+活性炭吸附</w:t>
                  </w:r>
                </w:p>
              </w:tc>
              <w:tc>
                <w:tcPr>
                  <w:tcW w:w="1618" w:type="dxa"/>
                  <w:vMerge w:val="restart"/>
                  <w:vAlign w:val="center"/>
                </w:tcPr>
                <w:p>
                  <w:pPr>
                    <w:widowControl/>
                    <w:jc w:val="center"/>
                    <w:rPr>
                      <w:rFonts w:hint="eastAsia"/>
                      <w:color w:val="auto"/>
                      <w:szCs w:val="21"/>
                    </w:rPr>
                  </w:pPr>
                  <w:r>
                    <w:rPr>
                      <w:rFonts w:hint="eastAsia"/>
                      <w:color w:val="auto"/>
                      <w:szCs w:val="21"/>
                    </w:rPr>
                    <w:t>24%</w:t>
                  </w:r>
                </w:p>
                <w:p>
                  <w:pPr>
                    <w:widowControl/>
                    <w:jc w:val="center"/>
                    <w:rPr>
                      <w:color w:val="auto"/>
                      <w:szCs w:val="21"/>
                    </w:rPr>
                  </w:pPr>
                  <w:r>
                    <w:rPr>
                      <w:rFonts w:hint="eastAsia"/>
                      <w:color w:val="auto"/>
                    </w:rPr>
                    <w:t>（</w:t>
                  </w:r>
                  <w:r>
                    <w:rPr>
                      <w:rFonts w:hint="eastAsia"/>
                      <w:color w:val="auto"/>
                      <w:szCs w:val="22"/>
                    </w:rPr>
                    <w:t>已考虑行业废气平均收集效率</w:t>
                  </w:r>
                  <w:r>
                    <w:rPr>
                      <w:rFonts w:hint="eastAsia"/>
                      <w:color w:val="auto"/>
                    </w:rPr>
                    <w:t>）</w:t>
                  </w:r>
                </w:p>
              </w:tc>
              <w:tc>
                <w:tcPr>
                  <w:tcW w:w="1309" w:type="dxa"/>
                  <w:vAlign w:val="center"/>
                </w:tcPr>
                <w:p>
                  <w:pPr>
                    <w:jc w:val="center"/>
                    <w:rPr>
                      <w:color w:val="auto"/>
                      <w:szCs w:val="21"/>
                    </w:rPr>
                  </w:pPr>
                  <w:r>
                    <w:rPr>
                      <w:rFonts w:hint="eastAsia"/>
                      <w:color w:val="auto"/>
                      <w:szCs w:val="21"/>
                    </w:rPr>
                    <w:t>有组织1.98t/a</w:t>
                  </w:r>
                </w:p>
              </w:tc>
              <w:tc>
                <w:tcPr>
                  <w:tcW w:w="1309" w:type="dxa"/>
                  <w:vAlign w:val="center"/>
                </w:tcPr>
                <w:p>
                  <w:pPr>
                    <w:jc w:val="center"/>
                    <w:rPr>
                      <w:color w:val="auto"/>
                      <w:szCs w:val="21"/>
                    </w:rPr>
                  </w:pPr>
                  <w:r>
                    <w:rPr>
                      <w:rFonts w:hint="eastAsia"/>
                      <w:color w:val="auto"/>
                      <w:szCs w:val="21"/>
                    </w:rPr>
                    <w:t>66mg/m</w:t>
                  </w:r>
                  <w:r>
                    <w:rPr>
                      <w:rFonts w:hint="eastAsia"/>
                      <w:color w:val="auto"/>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78" w:hRule="atLeast"/>
                <w:jc w:val="center"/>
              </w:trPr>
              <w:tc>
                <w:tcPr>
                  <w:tcW w:w="1027" w:type="dxa"/>
                  <w:vMerge w:val="continue"/>
                  <w:vAlign w:val="center"/>
                </w:tcPr>
                <w:p>
                  <w:pPr>
                    <w:jc w:val="center"/>
                    <w:rPr>
                      <w:color w:val="auto"/>
                    </w:rPr>
                  </w:pPr>
                </w:p>
              </w:tc>
              <w:tc>
                <w:tcPr>
                  <w:tcW w:w="724" w:type="dxa"/>
                  <w:vMerge w:val="continue"/>
                  <w:vAlign w:val="center"/>
                </w:tcPr>
                <w:p>
                  <w:pPr>
                    <w:jc w:val="center"/>
                    <w:rPr>
                      <w:color w:val="auto"/>
                    </w:rPr>
                  </w:pPr>
                </w:p>
              </w:tc>
              <w:tc>
                <w:tcPr>
                  <w:tcW w:w="1031" w:type="dxa"/>
                  <w:vMerge w:val="continue"/>
                  <w:vAlign w:val="center"/>
                </w:tcPr>
                <w:p>
                  <w:pPr>
                    <w:jc w:val="center"/>
                    <w:rPr>
                      <w:color w:val="auto"/>
                    </w:rPr>
                  </w:pPr>
                </w:p>
              </w:tc>
              <w:tc>
                <w:tcPr>
                  <w:tcW w:w="979" w:type="dxa"/>
                  <w:vMerge w:val="continue"/>
                  <w:vAlign w:val="center"/>
                </w:tcPr>
                <w:p>
                  <w:pPr>
                    <w:jc w:val="center"/>
                    <w:rPr>
                      <w:color w:val="auto"/>
                    </w:rPr>
                  </w:pPr>
                </w:p>
              </w:tc>
              <w:tc>
                <w:tcPr>
                  <w:tcW w:w="1618" w:type="dxa"/>
                  <w:vMerge w:val="continue"/>
                  <w:vAlign w:val="center"/>
                </w:tcPr>
                <w:p>
                  <w:pPr>
                    <w:jc w:val="center"/>
                    <w:rPr>
                      <w:color w:val="auto"/>
                    </w:rPr>
                  </w:pPr>
                </w:p>
              </w:tc>
              <w:tc>
                <w:tcPr>
                  <w:tcW w:w="1309" w:type="dxa"/>
                  <w:vAlign w:val="center"/>
                </w:tcPr>
                <w:p>
                  <w:pPr>
                    <w:jc w:val="center"/>
                    <w:rPr>
                      <w:color w:val="auto"/>
                      <w:szCs w:val="21"/>
                    </w:rPr>
                  </w:pPr>
                  <w:r>
                    <w:rPr>
                      <w:rFonts w:hint="eastAsia"/>
                      <w:color w:val="auto"/>
                      <w:szCs w:val="21"/>
                    </w:rPr>
                    <w:t>无组织0.3t/a</w:t>
                  </w:r>
                </w:p>
              </w:tc>
              <w:tc>
                <w:tcPr>
                  <w:tcW w:w="1309" w:type="dxa"/>
                  <w:vAlign w:val="center"/>
                </w:tcPr>
                <w:p>
                  <w:pPr>
                    <w:jc w:val="center"/>
                    <w:rPr>
                      <w:color w:val="auto"/>
                      <w:szCs w:val="21"/>
                    </w:rPr>
                  </w:pPr>
                  <w:r>
                    <w:rPr>
                      <w:rFonts w:hint="eastAsia"/>
                      <w:color w:val="auto"/>
                      <w:szCs w:val="21"/>
                    </w:rPr>
                    <w:t>/</w:t>
                  </w:r>
                </w:p>
              </w:tc>
            </w:tr>
          </w:tbl>
          <w:p>
            <w:pPr>
              <w:spacing w:line="520" w:lineRule="exact"/>
              <w:ind w:firstLine="560" w:firstLineChars="200"/>
              <w:rPr>
                <w:color w:val="auto"/>
              </w:rPr>
            </w:pPr>
            <w:r>
              <w:rPr>
                <w:rFonts w:hint="eastAsia"/>
                <w:color w:val="auto"/>
                <w:sz w:val="28"/>
                <w:szCs w:val="28"/>
              </w:rPr>
              <w:t>从表16可知，生产过程中挥发性有机物</w:t>
            </w:r>
            <w:r>
              <w:rPr>
                <w:rFonts w:hint="eastAsia"/>
                <w:color w:val="auto"/>
                <w:sz w:val="28"/>
                <w:szCs w:val="28"/>
                <w:lang w:eastAsia="zh-CN"/>
              </w:rPr>
              <w:t>通过车间内集气罩进行收集，</w:t>
            </w:r>
            <w:r>
              <w:rPr>
                <w:rFonts w:hint="eastAsia"/>
                <w:color w:val="auto"/>
                <w:sz w:val="28"/>
                <w:szCs w:val="28"/>
              </w:rPr>
              <w:t>经光催化+活性炭吸附技术处理</w:t>
            </w:r>
            <w:r>
              <w:rPr>
                <w:rFonts w:hint="eastAsia"/>
                <w:color w:val="auto"/>
                <w:sz w:val="28"/>
                <w:szCs w:val="28"/>
                <w:lang w:eastAsia="zh-CN"/>
              </w:rPr>
              <w:t>，</w:t>
            </w:r>
            <w:r>
              <w:rPr>
                <w:rFonts w:hint="eastAsia"/>
                <w:color w:val="auto"/>
                <w:sz w:val="28"/>
                <w:szCs w:val="28"/>
              </w:rPr>
              <w:t>排放浓度为66</w:t>
            </w:r>
            <w:r>
              <w:rPr>
                <w:color w:val="auto"/>
                <w:sz w:val="28"/>
                <w:szCs w:val="28"/>
              </w:rPr>
              <w:t>mg/m</w:t>
            </w:r>
            <w:r>
              <w:rPr>
                <w:color w:val="auto"/>
                <w:sz w:val="28"/>
                <w:szCs w:val="28"/>
                <w:vertAlign w:val="superscript"/>
              </w:rPr>
              <w:t>3</w:t>
            </w:r>
            <w:r>
              <w:rPr>
                <w:rFonts w:hint="eastAsia"/>
                <w:color w:val="auto"/>
                <w:sz w:val="28"/>
                <w:szCs w:val="28"/>
              </w:rPr>
              <w:t>，</w:t>
            </w:r>
            <w:r>
              <w:rPr>
                <w:rFonts w:hint="eastAsia"/>
                <w:color w:val="auto"/>
                <w:sz w:val="28"/>
                <w:szCs w:val="28"/>
                <w:lang w:eastAsia="zh-CN"/>
              </w:rPr>
              <w:t>经处理后的废气由</w:t>
            </w:r>
            <w:r>
              <w:rPr>
                <w:rFonts w:hint="eastAsia"/>
                <w:color w:val="auto"/>
                <w:sz w:val="28"/>
                <w:szCs w:val="28"/>
                <w:lang w:val="en-US" w:eastAsia="zh-CN"/>
              </w:rPr>
              <w:t>15m高排气筒排放，</w:t>
            </w:r>
            <w:r>
              <w:rPr>
                <w:rFonts w:hint="eastAsia"/>
                <w:color w:val="auto"/>
                <w:sz w:val="28"/>
                <w:szCs w:val="28"/>
              </w:rPr>
              <w:t>满足《合成树脂工业污染物排放标准》（</w:t>
            </w:r>
            <w:r>
              <w:rPr>
                <w:color w:val="auto"/>
                <w:sz w:val="28"/>
                <w:szCs w:val="28"/>
              </w:rPr>
              <w:t>GB31572-2015</w:t>
            </w:r>
            <w:r>
              <w:rPr>
                <w:rFonts w:hint="eastAsia"/>
                <w:color w:val="auto"/>
                <w:sz w:val="28"/>
                <w:szCs w:val="28"/>
              </w:rPr>
              <w:t>）表</w:t>
            </w:r>
            <w:r>
              <w:rPr>
                <w:color w:val="auto"/>
                <w:sz w:val="28"/>
                <w:szCs w:val="28"/>
              </w:rPr>
              <w:t>4</w:t>
            </w:r>
            <w:r>
              <w:rPr>
                <w:rFonts w:hint="eastAsia" w:ascii="宋体" w:hAnsi="宋体" w:cs="宋体"/>
                <w:color w:val="auto"/>
                <w:kern w:val="0"/>
                <w:sz w:val="28"/>
                <w:szCs w:val="28"/>
                <w:lang w:bidi="ar"/>
              </w:rPr>
              <w:t>中非甲烷总烃排放限值</w:t>
            </w:r>
            <w:r>
              <w:rPr>
                <w:color w:val="auto"/>
                <w:kern w:val="0"/>
                <w:sz w:val="28"/>
                <w:szCs w:val="28"/>
                <w:lang w:bidi="ar"/>
              </w:rPr>
              <w:t>100mg/m</w:t>
            </w:r>
            <w:r>
              <w:rPr>
                <w:rFonts w:hint="eastAsia"/>
                <w:color w:val="auto"/>
                <w:kern w:val="0"/>
                <w:sz w:val="28"/>
                <w:szCs w:val="28"/>
                <w:vertAlign w:val="superscript"/>
                <w:lang w:bidi="ar"/>
              </w:rPr>
              <w:t>3</w:t>
            </w:r>
            <w:r>
              <w:rPr>
                <w:rFonts w:hint="eastAsia" w:ascii="宋体" w:hAnsi="宋体" w:cs="宋体"/>
                <w:color w:val="auto"/>
                <w:kern w:val="0"/>
                <w:sz w:val="28"/>
                <w:szCs w:val="28"/>
                <w:lang w:bidi="ar"/>
              </w:rPr>
              <w:t>的要求。</w:t>
            </w:r>
          </w:p>
          <w:p>
            <w:pPr>
              <w:spacing w:line="500" w:lineRule="exact"/>
              <w:rPr>
                <w:b/>
                <w:bCs/>
                <w:color w:val="auto"/>
                <w:sz w:val="28"/>
                <w:szCs w:val="28"/>
              </w:rPr>
            </w:pPr>
            <w:r>
              <w:rPr>
                <w:rFonts w:hint="eastAsia"/>
                <w:b/>
                <w:bCs/>
                <w:color w:val="auto"/>
                <w:sz w:val="28"/>
                <w:szCs w:val="28"/>
              </w:rPr>
              <w:t>1.2锅炉废气</w:t>
            </w:r>
          </w:p>
          <w:p>
            <w:pPr>
              <w:spacing w:line="520" w:lineRule="exact"/>
              <w:ind w:firstLine="560" w:firstLineChars="200"/>
              <w:rPr>
                <w:color w:val="auto"/>
                <w:sz w:val="28"/>
                <w:szCs w:val="28"/>
              </w:rPr>
            </w:pPr>
            <w:r>
              <w:rPr>
                <w:color w:val="auto"/>
                <w:sz w:val="28"/>
                <w:szCs w:val="28"/>
              </w:rPr>
              <w:t>本项目</w:t>
            </w:r>
            <w:r>
              <w:rPr>
                <w:rFonts w:hint="eastAsia"/>
                <w:color w:val="auto"/>
                <w:sz w:val="28"/>
                <w:szCs w:val="28"/>
                <w:lang w:eastAsia="zh-CN"/>
              </w:rPr>
              <w:t>设置生物质锅炉一座，产生的废气主要为</w:t>
            </w:r>
            <w:r>
              <w:rPr>
                <w:rFonts w:hint="eastAsia"/>
                <w:color w:val="auto"/>
                <w:sz w:val="28"/>
                <w:szCs w:val="28"/>
                <w:lang w:val="en-US" w:eastAsia="zh-CN"/>
              </w:rPr>
              <w:t>SO</w:t>
            </w:r>
            <w:r>
              <w:rPr>
                <w:rFonts w:hint="eastAsia"/>
                <w:color w:val="auto"/>
                <w:sz w:val="28"/>
                <w:szCs w:val="28"/>
                <w:vertAlign w:val="subscript"/>
                <w:lang w:val="en-US" w:eastAsia="zh-CN"/>
              </w:rPr>
              <w:t>2</w:t>
            </w:r>
            <w:r>
              <w:rPr>
                <w:rFonts w:hint="eastAsia"/>
                <w:color w:val="auto"/>
                <w:sz w:val="28"/>
                <w:szCs w:val="28"/>
                <w:lang w:val="en-US" w:eastAsia="zh-CN"/>
              </w:rPr>
              <w:t>、NOx、颗粒物，本次根据</w:t>
            </w:r>
            <w:r>
              <w:rPr>
                <w:color w:val="auto"/>
                <w:sz w:val="28"/>
                <w:szCs w:val="28"/>
              </w:rPr>
              <w:t>《排污许可证申请与核发技术规范锅炉》(HJ953-2018)）中产污系数法进行核算</w:t>
            </w:r>
            <w:r>
              <w:rPr>
                <w:rFonts w:hint="eastAsia"/>
                <w:color w:val="auto"/>
                <w:sz w:val="28"/>
                <w:szCs w:val="28"/>
              </w:rPr>
              <w:t>。</w:t>
            </w:r>
          </w:p>
          <w:p>
            <w:pPr>
              <w:spacing w:line="520" w:lineRule="exact"/>
              <w:ind w:firstLine="560" w:firstLineChars="200"/>
              <w:rPr>
                <w:color w:val="auto"/>
                <w:sz w:val="28"/>
                <w:szCs w:val="28"/>
              </w:rPr>
            </w:pPr>
            <w:r>
              <w:rPr>
                <w:color w:val="auto"/>
                <w:sz w:val="28"/>
                <w:szCs w:val="28"/>
              </w:rPr>
              <w:t>①</w:t>
            </w:r>
            <w:r>
              <w:rPr>
                <w:rFonts w:hint="eastAsia"/>
                <w:color w:val="auto"/>
                <w:sz w:val="28"/>
                <w:szCs w:val="28"/>
              </w:rPr>
              <w:t>烟气量</w:t>
            </w:r>
          </w:p>
          <w:p>
            <w:pPr>
              <w:spacing w:line="520" w:lineRule="exact"/>
              <w:ind w:firstLine="560" w:firstLineChars="200"/>
              <w:rPr>
                <w:color w:val="auto"/>
              </w:rPr>
            </w:pPr>
            <w:r>
              <w:rPr>
                <w:color w:val="auto"/>
                <w:sz w:val="28"/>
                <w:szCs w:val="28"/>
              </w:rPr>
              <w:t>项目生物质锅炉排放的烟气量采用《排污许可证申请与核发技术规范锅炉》</w:t>
            </w:r>
            <w:r>
              <w:rPr>
                <w:rFonts w:hint="eastAsia"/>
                <w:color w:val="auto"/>
                <w:sz w:val="28"/>
                <w:szCs w:val="28"/>
              </w:rPr>
              <w:t>（</w:t>
            </w:r>
            <w:r>
              <w:rPr>
                <w:color w:val="auto"/>
                <w:sz w:val="28"/>
                <w:szCs w:val="28"/>
              </w:rPr>
              <w:t>HJ953-2018</w:t>
            </w:r>
            <w:r>
              <w:rPr>
                <w:rFonts w:hint="eastAsia"/>
                <w:color w:val="auto"/>
                <w:sz w:val="28"/>
                <w:szCs w:val="28"/>
              </w:rPr>
              <w:t>）</w:t>
            </w:r>
            <w:r>
              <w:rPr>
                <w:color w:val="auto"/>
                <w:sz w:val="28"/>
                <w:szCs w:val="28"/>
              </w:rPr>
              <w:t>表5中</w:t>
            </w:r>
            <w:r>
              <w:rPr>
                <w:rFonts w:hint="eastAsia"/>
                <w:color w:val="auto"/>
                <w:sz w:val="28"/>
                <w:szCs w:val="28"/>
                <w:lang w:eastAsia="zh-CN"/>
              </w:rPr>
              <w:t>“</w:t>
            </w:r>
            <w:r>
              <w:rPr>
                <w:color w:val="auto"/>
                <w:sz w:val="28"/>
                <w:szCs w:val="28"/>
              </w:rPr>
              <w:t>生物质锅炉</w:t>
            </w:r>
            <w:r>
              <w:rPr>
                <w:rFonts w:hint="eastAsia"/>
                <w:color w:val="auto"/>
                <w:sz w:val="28"/>
                <w:szCs w:val="28"/>
                <w:lang w:eastAsia="zh-CN"/>
              </w:rPr>
              <w:t>”</w:t>
            </w:r>
            <w:r>
              <w:rPr>
                <w:color w:val="auto"/>
                <w:sz w:val="28"/>
                <w:szCs w:val="28"/>
              </w:rPr>
              <w:t>的取值，具体取值表详见下表。</w:t>
            </w:r>
          </w:p>
          <w:p>
            <w:pPr>
              <w:snapToGrid w:val="0"/>
              <w:ind w:firstLine="480" w:firstLineChars="200"/>
              <w:rPr>
                <w:rFonts w:eastAsia="黑体"/>
                <w:color w:val="auto"/>
                <w:sz w:val="24"/>
              </w:rPr>
            </w:pPr>
            <w:r>
              <w:rPr>
                <w:rFonts w:eastAsia="黑体"/>
                <w:color w:val="auto"/>
                <w:sz w:val="24"/>
              </w:rPr>
              <w:t>表</w:t>
            </w:r>
            <w:r>
              <w:rPr>
                <w:rFonts w:hint="eastAsia" w:eastAsia="黑体"/>
                <w:color w:val="auto"/>
                <w:sz w:val="24"/>
              </w:rPr>
              <w:t>17</w:t>
            </w:r>
            <w:r>
              <w:rPr>
                <w:rFonts w:eastAsia="黑体"/>
                <w:color w:val="auto"/>
                <w:sz w:val="24"/>
              </w:rPr>
              <w:t xml:space="preserve"> </w:t>
            </w:r>
            <w:r>
              <w:rPr>
                <w:rFonts w:hint="eastAsia" w:eastAsia="黑体"/>
                <w:color w:val="auto"/>
                <w:sz w:val="24"/>
              </w:rPr>
              <w:t xml:space="preserve">  </w:t>
            </w:r>
            <w:r>
              <w:rPr>
                <w:rFonts w:eastAsia="黑体"/>
                <w:color w:val="auto"/>
                <w:sz w:val="24"/>
              </w:rPr>
              <w:t xml:space="preserve">   </w:t>
            </w:r>
            <w:r>
              <w:rPr>
                <w:rFonts w:hint="eastAsia" w:eastAsia="黑体"/>
                <w:color w:val="auto"/>
                <w:sz w:val="24"/>
              </w:rPr>
              <w:t xml:space="preserve">   </w:t>
            </w:r>
            <w:r>
              <w:rPr>
                <w:rFonts w:eastAsia="黑体"/>
                <w:color w:val="auto"/>
                <w:sz w:val="24"/>
              </w:rPr>
              <w:t xml:space="preserve">  </w:t>
            </w:r>
            <w:r>
              <w:rPr>
                <w:rFonts w:hint="eastAsia" w:eastAsia="黑体"/>
                <w:color w:val="auto"/>
                <w:sz w:val="24"/>
              </w:rPr>
              <w:t xml:space="preserve"> </w:t>
            </w:r>
            <w:r>
              <w:rPr>
                <w:rFonts w:eastAsia="黑体"/>
                <w:color w:val="auto"/>
                <w:sz w:val="24"/>
              </w:rPr>
              <w:t xml:space="preserve">     </w:t>
            </w:r>
            <w:r>
              <w:rPr>
                <w:rFonts w:hint="eastAsia" w:eastAsia="黑体"/>
                <w:color w:val="auto"/>
                <w:sz w:val="24"/>
              </w:rPr>
              <w:t>基准烟气量取值表</w:t>
            </w:r>
          </w:p>
          <w:tbl>
            <w:tblPr>
              <w:tblStyle w:val="18"/>
              <w:tblW w:w="8068"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57"/>
              <w:gridCol w:w="1690"/>
              <w:gridCol w:w="1585"/>
              <w:gridCol w:w="2247"/>
              <w:gridCol w:w="98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4832" w:type="dxa"/>
                  <w:gridSpan w:val="3"/>
                  <w:vAlign w:val="center"/>
                </w:tcPr>
                <w:p>
                  <w:pPr>
                    <w:widowControl/>
                    <w:jc w:val="center"/>
                    <w:rPr>
                      <w:color w:val="auto"/>
                      <w:szCs w:val="22"/>
                    </w:rPr>
                  </w:pPr>
                  <w:r>
                    <w:rPr>
                      <w:rFonts w:hint="eastAsia"/>
                      <w:color w:val="auto"/>
                      <w:szCs w:val="22"/>
                    </w:rPr>
                    <w:t>锅炉</w:t>
                  </w:r>
                </w:p>
              </w:tc>
              <w:tc>
                <w:tcPr>
                  <w:tcW w:w="2247" w:type="dxa"/>
                  <w:vAlign w:val="center"/>
                </w:tcPr>
                <w:p>
                  <w:pPr>
                    <w:widowControl/>
                    <w:jc w:val="center"/>
                    <w:rPr>
                      <w:color w:val="auto"/>
                      <w:szCs w:val="22"/>
                    </w:rPr>
                  </w:pPr>
                  <w:r>
                    <w:rPr>
                      <w:rFonts w:hint="eastAsia"/>
                      <w:color w:val="auto"/>
                      <w:szCs w:val="22"/>
                    </w:rPr>
                    <w:t>基准烟气量</w:t>
                  </w:r>
                </w:p>
              </w:tc>
              <w:tc>
                <w:tcPr>
                  <w:tcW w:w="989" w:type="dxa"/>
                  <w:vAlign w:val="center"/>
                </w:tcPr>
                <w:p>
                  <w:pPr>
                    <w:widowControl/>
                    <w:jc w:val="center"/>
                    <w:rPr>
                      <w:color w:val="auto"/>
                      <w:szCs w:val="22"/>
                    </w:rPr>
                  </w:pPr>
                  <w:r>
                    <w:rPr>
                      <w:rFonts w:hint="eastAsia"/>
                      <w:color w:val="auto"/>
                      <w:szCs w:val="22"/>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557" w:type="dxa"/>
                  <w:vMerge w:val="restart"/>
                  <w:vAlign w:val="center"/>
                </w:tcPr>
                <w:p>
                  <w:pPr>
                    <w:widowControl/>
                    <w:jc w:val="center"/>
                    <w:rPr>
                      <w:color w:val="auto"/>
                      <w:szCs w:val="22"/>
                    </w:rPr>
                  </w:pPr>
                  <w:r>
                    <w:rPr>
                      <w:rFonts w:hint="eastAsia"/>
                      <w:color w:val="auto"/>
                      <w:szCs w:val="22"/>
                    </w:rPr>
                    <w:t>燃生物质锅炉</w:t>
                  </w:r>
                </w:p>
              </w:tc>
              <w:tc>
                <w:tcPr>
                  <w:tcW w:w="1690" w:type="dxa"/>
                  <w:vMerge w:val="restart"/>
                  <w:vAlign w:val="center"/>
                </w:tcPr>
                <w:p>
                  <w:pPr>
                    <w:widowControl/>
                    <w:jc w:val="center"/>
                    <w:rPr>
                      <w:color w:val="auto"/>
                      <w:szCs w:val="22"/>
                    </w:rPr>
                  </w:pPr>
                  <w:r>
                    <w:rPr>
                      <w:rFonts w:hint="eastAsia"/>
                      <w:color w:val="auto"/>
                      <w:szCs w:val="22"/>
                    </w:rPr>
                    <w:t>Q</w:t>
                  </w:r>
                  <w:r>
                    <w:rPr>
                      <w:rFonts w:hint="eastAsia"/>
                      <w:color w:val="auto"/>
                      <w:szCs w:val="22"/>
                      <w:vertAlign w:val="subscript"/>
                    </w:rPr>
                    <w:t>net,ar</w:t>
                  </w:r>
                  <w:r>
                    <w:rPr>
                      <w:rFonts w:hint="eastAsia"/>
                      <w:color w:val="auto"/>
                      <w:szCs w:val="22"/>
                    </w:rPr>
                    <w:t>≧12.54MJ/kg</w:t>
                  </w:r>
                </w:p>
              </w:tc>
              <w:tc>
                <w:tcPr>
                  <w:tcW w:w="1585" w:type="dxa"/>
                  <w:vAlign w:val="center"/>
                </w:tcPr>
                <w:p>
                  <w:pPr>
                    <w:widowControl/>
                    <w:jc w:val="center"/>
                    <w:rPr>
                      <w:color w:val="auto"/>
                      <w:szCs w:val="22"/>
                    </w:rPr>
                  </w:pPr>
                  <w:r>
                    <w:rPr>
                      <w:rFonts w:hint="eastAsia"/>
                      <w:color w:val="auto"/>
                      <w:szCs w:val="22"/>
                    </w:rPr>
                    <w:t>V</w:t>
                  </w:r>
                  <w:r>
                    <w:rPr>
                      <w:rFonts w:hint="eastAsia"/>
                      <w:color w:val="auto"/>
                      <w:szCs w:val="22"/>
                      <w:vertAlign w:val="subscript"/>
                    </w:rPr>
                    <w:t>daf</w:t>
                  </w:r>
                  <w:r>
                    <w:rPr>
                      <w:rFonts w:hint="eastAsia"/>
                      <w:color w:val="auto"/>
                      <w:szCs w:val="22"/>
                    </w:rPr>
                    <w:t>≧15%</w:t>
                  </w:r>
                </w:p>
              </w:tc>
              <w:tc>
                <w:tcPr>
                  <w:tcW w:w="2247" w:type="dxa"/>
                  <w:vAlign w:val="center"/>
                </w:tcPr>
                <w:p>
                  <w:pPr>
                    <w:widowControl/>
                    <w:jc w:val="center"/>
                    <w:rPr>
                      <w:color w:val="auto"/>
                      <w:szCs w:val="22"/>
                    </w:rPr>
                  </w:pPr>
                  <w:r>
                    <w:rPr>
                      <w:rFonts w:hint="eastAsia"/>
                      <w:color w:val="auto"/>
                      <w:szCs w:val="22"/>
                    </w:rPr>
                    <w:t>V</w:t>
                  </w:r>
                  <w:r>
                    <w:rPr>
                      <w:rFonts w:hint="eastAsia"/>
                      <w:color w:val="auto"/>
                      <w:szCs w:val="22"/>
                      <w:vertAlign w:val="subscript"/>
                    </w:rPr>
                    <w:t>gy</w:t>
                  </w:r>
                  <w:r>
                    <w:rPr>
                      <w:rFonts w:hint="eastAsia"/>
                      <w:color w:val="auto"/>
                      <w:szCs w:val="22"/>
                    </w:rPr>
                    <w:t>=0.393Q</w:t>
                  </w:r>
                  <w:r>
                    <w:rPr>
                      <w:rFonts w:hint="eastAsia"/>
                      <w:color w:val="auto"/>
                      <w:szCs w:val="22"/>
                      <w:vertAlign w:val="subscript"/>
                    </w:rPr>
                    <w:t>net,ar</w:t>
                  </w:r>
                  <w:r>
                    <w:rPr>
                      <w:rFonts w:hint="eastAsia"/>
                      <w:color w:val="auto"/>
                      <w:szCs w:val="22"/>
                    </w:rPr>
                    <w:t>+0.876</w:t>
                  </w:r>
                </w:p>
              </w:tc>
              <w:tc>
                <w:tcPr>
                  <w:tcW w:w="989" w:type="dxa"/>
                  <w:vAlign w:val="center"/>
                </w:tcPr>
                <w:p>
                  <w:pPr>
                    <w:widowControl/>
                    <w:jc w:val="center"/>
                    <w:rPr>
                      <w:color w:val="auto"/>
                      <w:szCs w:val="22"/>
                    </w:rPr>
                  </w:pPr>
                  <w:r>
                    <w:rPr>
                      <w:rFonts w:hint="eastAsia"/>
                      <w:color w:val="auto"/>
                      <w:szCs w:val="22"/>
                    </w:rPr>
                    <w:t>Nm</w:t>
                  </w:r>
                  <w:r>
                    <w:rPr>
                      <w:rFonts w:hint="eastAsia"/>
                      <w:color w:val="auto"/>
                      <w:szCs w:val="22"/>
                      <w:vertAlign w:val="superscript"/>
                    </w:rPr>
                    <w:t>3</w:t>
                  </w:r>
                  <w:r>
                    <w:rPr>
                      <w:rFonts w:hint="eastAsia"/>
                      <w:color w:val="auto"/>
                      <w:szCs w:val="22"/>
                    </w:rPr>
                    <w:t>/kg</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557" w:type="dxa"/>
                  <w:vMerge w:val="continue"/>
                  <w:vAlign w:val="center"/>
                </w:tcPr>
                <w:p>
                  <w:pPr>
                    <w:widowControl/>
                    <w:jc w:val="center"/>
                    <w:rPr>
                      <w:color w:val="auto"/>
                      <w:szCs w:val="22"/>
                    </w:rPr>
                  </w:pPr>
                </w:p>
              </w:tc>
              <w:tc>
                <w:tcPr>
                  <w:tcW w:w="1690" w:type="dxa"/>
                  <w:vMerge w:val="continue"/>
                  <w:vAlign w:val="center"/>
                </w:tcPr>
                <w:p>
                  <w:pPr>
                    <w:widowControl/>
                    <w:jc w:val="center"/>
                    <w:rPr>
                      <w:color w:val="auto"/>
                      <w:szCs w:val="22"/>
                    </w:rPr>
                  </w:pPr>
                </w:p>
              </w:tc>
              <w:tc>
                <w:tcPr>
                  <w:tcW w:w="1585" w:type="dxa"/>
                  <w:vAlign w:val="center"/>
                </w:tcPr>
                <w:p>
                  <w:pPr>
                    <w:widowControl/>
                    <w:jc w:val="center"/>
                    <w:rPr>
                      <w:color w:val="auto"/>
                      <w:szCs w:val="22"/>
                    </w:rPr>
                  </w:pPr>
                  <w:r>
                    <w:rPr>
                      <w:rFonts w:hint="eastAsia"/>
                      <w:color w:val="auto"/>
                      <w:szCs w:val="22"/>
                    </w:rPr>
                    <w:t>V</w:t>
                  </w:r>
                  <w:r>
                    <w:rPr>
                      <w:rFonts w:hint="eastAsia"/>
                      <w:color w:val="auto"/>
                      <w:szCs w:val="22"/>
                      <w:vertAlign w:val="subscript"/>
                    </w:rPr>
                    <w:t>daf</w:t>
                  </w:r>
                  <w:r>
                    <w:rPr>
                      <w:rFonts w:hint="eastAsia"/>
                      <w:color w:val="auto"/>
                      <w:szCs w:val="22"/>
                    </w:rPr>
                    <w:t>＜15%</w:t>
                  </w:r>
                </w:p>
              </w:tc>
              <w:tc>
                <w:tcPr>
                  <w:tcW w:w="2247" w:type="dxa"/>
                  <w:vAlign w:val="center"/>
                </w:tcPr>
                <w:p>
                  <w:pPr>
                    <w:widowControl/>
                    <w:jc w:val="center"/>
                    <w:rPr>
                      <w:color w:val="auto"/>
                      <w:szCs w:val="22"/>
                    </w:rPr>
                  </w:pPr>
                  <w:r>
                    <w:rPr>
                      <w:rFonts w:hint="eastAsia"/>
                      <w:color w:val="auto"/>
                      <w:szCs w:val="22"/>
                    </w:rPr>
                    <w:t>V</w:t>
                  </w:r>
                  <w:r>
                    <w:rPr>
                      <w:rFonts w:hint="eastAsia"/>
                      <w:color w:val="auto"/>
                      <w:szCs w:val="22"/>
                      <w:vertAlign w:val="subscript"/>
                    </w:rPr>
                    <w:t>gy</w:t>
                  </w:r>
                  <w:r>
                    <w:rPr>
                      <w:rFonts w:hint="eastAsia"/>
                      <w:color w:val="auto"/>
                      <w:szCs w:val="22"/>
                    </w:rPr>
                    <w:t>=0.385Q</w:t>
                  </w:r>
                  <w:r>
                    <w:rPr>
                      <w:rFonts w:hint="eastAsia"/>
                      <w:color w:val="auto"/>
                      <w:szCs w:val="22"/>
                      <w:vertAlign w:val="subscript"/>
                    </w:rPr>
                    <w:t>net,ar</w:t>
                  </w:r>
                  <w:r>
                    <w:rPr>
                      <w:rFonts w:hint="eastAsia"/>
                      <w:color w:val="auto"/>
                      <w:szCs w:val="22"/>
                    </w:rPr>
                    <w:t>+1.095</w:t>
                  </w:r>
                </w:p>
              </w:tc>
              <w:tc>
                <w:tcPr>
                  <w:tcW w:w="989" w:type="dxa"/>
                  <w:vAlign w:val="center"/>
                </w:tcPr>
                <w:p>
                  <w:pPr>
                    <w:widowControl/>
                    <w:jc w:val="center"/>
                    <w:rPr>
                      <w:color w:val="auto"/>
                      <w:szCs w:val="22"/>
                    </w:rPr>
                  </w:pPr>
                  <w:r>
                    <w:rPr>
                      <w:rFonts w:hint="eastAsia"/>
                      <w:color w:val="auto"/>
                      <w:szCs w:val="22"/>
                    </w:rPr>
                    <w:t>Nm</w:t>
                  </w:r>
                  <w:r>
                    <w:rPr>
                      <w:rFonts w:hint="eastAsia"/>
                      <w:color w:val="auto"/>
                      <w:szCs w:val="22"/>
                      <w:vertAlign w:val="superscript"/>
                    </w:rPr>
                    <w:t>3</w:t>
                  </w:r>
                  <w:r>
                    <w:rPr>
                      <w:rFonts w:hint="eastAsia"/>
                      <w:color w:val="auto"/>
                      <w:szCs w:val="22"/>
                    </w:rPr>
                    <w:t>/kg</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557" w:type="dxa"/>
                  <w:vMerge w:val="continue"/>
                  <w:vAlign w:val="center"/>
                </w:tcPr>
                <w:p>
                  <w:pPr>
                    <w:widowControl/>
                    <w:jc w:val="center"/>
                    <w:rPr>
                      <w:color w:val="auto"/>
                      <w:szCs w:val="22"/>
                    </w:rPr>
                  </w:pPr>
                </w:p>
              </w:tc>
              <w:tc>
                <w:tcPr>
                  <w:tcW w:w="3275" w:type="dxa"/>
                  <w:gridSpan w:val="2"/>
                  <w:vAlign w:val="center"/>
                </w:tcPr>
                <w:p>
                  <w:pPr>
                    <w:widowControl/>
                    <w:jc w:val="center"/>
                    <w:rPr>
                      <w:color w:val="auto"/>
                      <w:szCs w:val="22"/>
                    </w:rPr>
                  </w:pPr>
                  <w:r>
                    <w:rPr>
                      <w:rFonts w:hint="eastAsia"/>
                      <w:color w:val="auto"/>
                      <w:szCs w:val="22"/>
                    </w:rPr>
                    <w:t>Q</w:t>
                  </w:r>
                  <w:r>
                    <w:rPr>
                      <w:rFonts w:hint="eastAsia"/>
                      <w:color w:val="auto"/>
                      <w:szCs w:val="22"/>
                      <w:vertAlign w:val="subscript"/>
                    </w:rPr>
                    <w:t>net,ar</w:t>
                  </w:r>
                  <w:r>
                    <w:rPr>
                      <w:rFonts w:hint="eastAsia"/>
                      <w:color w:val="auto"/>
                      <w:szCs w:val="22"/>
                    </w:rPr>
                    <w:t>＜12.54MJ/kg</w:t>
                  </w:r>
                </w:p>
              </w:tc>
              <w:tc>
                <w:tcPr>
                  <w:tcW w:w="2247" w:type="dxa"/>
                  <w:vAlign w:val="center"/>
                </w:tcPr>
                <w:p>
                  <w:pPr>
                    <w:widowControl/>
                    <w:jc w:val="center"/>
                    <w:rPr>
                      <w:color w:val="auto"/>
                      <w:szCs w:val="22"/>
                    </w:rPr>
                  </w:pPr>
                  <w:r>
                    <w:rPr>
                      <w:rFonts w:hint="eastAsia"/>
                      <w:color w:val="auto"/>
                      <w:szCs w:val="22"/>
                    </w:rPr>
                    <w:t>V</w:t>
                  </w:r>
                  <w:r>
                    <w:rPr>
                      <w:rFonts w:hint="eastAsia"/>
                      <w:color w:val="auto"/>
                      <w:szCs w:val="22"/>
                      <w:vertAlign w:val="subscript"/>
                    </w:rPr>
                    <w:t>gy</w:t>
                  </w:r>
                  <w:r>
                    <w:rPr>
                      <w:rFonts w:hint="eastAsia"/>
                      <w:color w:val="auto"/>
                      <w:szCs w:val="22"/>
                    </w:rPr>
                    <w:t>=0.385Q</w:t>
                  </w:r>
                  <w:r>
                    <w:rPr>
                      <w:rFonts w:hint="eastAsia"/>
                      <w:color w:val="auto"/>
                      <w:szCs w:val="22"/>
                      <w:vertAlign w:val="subscript"/>
                    </w:rPr>
                    <w:t>net,ar</w:t>
                  </w:r>
                  <w:r>
                    <w:rPr>
                      <w:rFonts w:hint="eastAsia"/>
                      <w:color w:val="auto"/>
                      <w:szCs w:val="22"/>
                    </w:rPr>
                    <w:t>+0.788</w:t>
                  </w:r>
                </w:p>
              </w:tc>
              <w:tc>
                <w:tcPr>
                  <w:tcW w:w="989" w:type="dxa"/>
                  <w:vAlign w:val="center"/>
                </w:tcPr>
                <w:p>
                  <w:pPr>
                    <w:widowControl/>
                    <w:jc w:val="center"/>
                    <w:rPr>
                      <w:color w:val="auto"/>
                      <w:szCs w:val="22"/>
                    </w:rPr>
                  </w:pPr>
                  <w:r>
                    <w:rPr>
                      <w:rFonts w:hint="eastAsia"/>
                      <w:color w:val="auto"/>
                      <w:szCs w:val="22"/>
                    </w:rPr>
                    <w:t>Nm</w:t>
                  </w:r>
                  <w:r>
                    <w:rPr>
                      <w:rFonts w:hint="eastAsia"/>
                      <w:color w:val="auto"/>
                      <w:szCs w:val="22"/>
                      <w:vertAlign w:val="superscript"/>
                    </w:rPr>
                    <w:t>3</w:t>
                  </w:r>
                  <w:r>
                    <w:rPr>
                      <w:rFonts w:hint="eastAsia"/>
                      <w:color w:val="auto"/>
                      <w:szCs w:val="22"/>
                    </w:rPr>
                    <w:t>/kg</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8068" w:type="dxa"/>
                  <w:gridSpan w:val="5"/>
                  <w:vAlign w:val="center"/>
                </w:tcPr>
                <w:p>
                  <w:pPr>
                    <w:widowControl/>
                    <w:jc w:val="left"/>
                    <w:rPr>
                      <w:color w:val="auto"/>
                    </w:rPr>
                  </w:pPr>
                  <w:r>
                    <w:rPr>
                      <w:rFonts w:hint="eastAsia"/>
                      <w:color w:val="auto"/>
                    </w:rPr>
                    <w:t>注：1、Vdaf，燃料干燥无灰基挥发分（%）；Vgy，基准烟气量（Nm</w:t>
                  </w:r>
                  <w:r>
                    <w:rPr>
                      <w:rFonts w:hint="eastAsia"/>
                      <w:color w:val="auto"/>
                      <w:vertAlign w:val="superscript"/>
                    </w:rPr>
                    <w:t>3</w:t>
                  </w:r>
                  <w:r>
                    <w:rPr>
                      <w:rFonts w:hint="eastAsia"/>
                      <w:color w:val="auto"/>
                    </w:rPr>
                    <w:t>/kg或Nm</w:t>
                  </w:r>
                  <w:r>
                    <w:rPr>
                      <w:rFonts w:hint="eastAsia"/>
                      <w:color w:val="auto"/>
                      <w:vertAlign w:val="superscript"/>
                    </w:rPr>
                    <w:t>3</w:t>
                  </w:r>
                  <w:r>
                    <w:rPr>
                      <w:rFonts w:hint="eastAsia"/>
                      <w:color w:val="auto"/>
                    </w:rPr>
                    <w:t>/m</w:t>
                  </w:r>
                  <w:r>
                    <w:rPr>
                      <w:rFonts w:hint="eastAsia"/>
                      <w:color w:val="auto"/>
                      <w:vertAlign w:val="superscript"/>
                    </w:rPr>
                    <w:t>3</w:t>
                  </w:r>
                  <w:r>
                    <w:rPr>
                      <w:rFonts w:hint="eastAsia"/>
                      <w:color w:val="auto"/>
                    </w:rPr>
                    <w:t>）</w:t>
                  </w:r>
                </w:p>
                <w:p>
                  <w:pPr>
                    <w:widowControl/>
                    <w:jc w:val="left"/>
                    <w:rPr>
                      <w:color w:val="auto"/>
                    </w:rPr>
                  </w:pPr>
                  <w:r>
                    <w:rPr>
                      <w:rFonts w:hint="eastAsia"/>
                      <w:color w:val="auto"/>
                    </w:rPr>
                    <w:t xml:space="preserve">    2、Qnet,ar,燃料收到基低位发热量（MJ/kg）</w:t>
                  </w:r>
                </w:p>
              </w:tc>
            </w:tr>
          </w:tbl>
          <w:p>
            <w:pPr>
              <w:spacing w:line="520" w:lineRule="exact"/>
              <w:ind w:firstLine="560" w:firstLineChars="200"/>
              <w:rPr>
                <w:color w:val="auto"/>
                <w:sz w:val="28"/>
                <w:szCs w:val="28"/>
              </w:rPr>
            </w:pPr>
            <w:r>
              <w:rPr>
                <w:color w:val="auto"/>
                <w:sz w:val="28"/>
                <w:szCs w:val="28"/>
              </w:rPr>
              <w:t>根据生物质成分分析，项目所用收到基低位发热值</w:t>
            </w:r>
            <w:r>
              <w:rPr>
                <w:rFonts w:hint="eastAsia"/>
                <w:color w:val="auto"/>
                <w:sz w:val="28"/>
                <w:szCs w:val="28"/>
              </w:rPr>
              <w:t>Q</w:t>
            </w:r>
            <w:r>
              <w:rPr>
                <w:rFonts w:hint="eastAsia"/>
                <w:color w:val="auto"/>
                <w:sz w:val="28"/>
                <w:szCs w:val="28"/>
                <w:vertAlign w:val="subscript"/>
              </w:rPr>
              <w:t>net,ar</w:t>
            </w:r>
            <w:r>
              <w:rPr>
                <w:color w:val="auto"/>
                <w:sz w:val="28"/>
                <w:szCs w:val="28"/>
              </w:rPr>
              <w:t>为 为</w:t>
            </w:r>
            <w:r>
              <w:rPr>
                <w:rFonts w:hint="eastAsia"/>
                <w:color w:val="auto"/>
                <w:sz w:val="28"/>
                <w:szCs w:val="28"/>
              </w:rPr>
              <w:t>11214k</w:t>
            </w:r>
            <w:r>
              <w:rPr>
                <w:color w:val="auto"/>
                <w:sz w:val="28"/>
                <w:szCs w:val="28"/>
              </w:rPr>
              <w:t>J/kg：燃料干燥无灰基挥发分V</w:t>
            </w:r>
            <w:r>
              <w:rPr>
                <w:rFonts w:hint="eastAsia"/>
                <w:color w:val="auto"/>
                <w:sz w:val="28"/>
                <w:szCs w:val="28"/>
                <w:vertAlign w:val="subscript"/>
              </w:rPr>
              <w:t>daf</w:t>
            </w:r>
            <w:r>
              <w:rPr>
                <w:rFonts w:hint="eastAsia"/>
                <w:color w:val="auto"/>
                <w:sz w:val="28"/>
                <w:szCs w:val="28"/>
              </w:rPr>
              <w:t>为12</w:t>
            </w:r>
            <w:r>
              <w:rPr>
                <w:color w:val="auto"/>
                <w:sz w:val="28"/>
                <w:szCs w:val="28"/>
              </w:rPr>
              <w:t>%，故本项目基准烟气量V</w:t>
            </w:r>
            <w:r>
              <w:rPr>
                <w:rFonts w:hint="eastAsia"/>
                <w:color w:val="auto"/>
                <w:sz w:val="28"/>
                <w:szCs w:val="28"/>
                <w:vertAlign w:val="subscript"/>
              </w:rPr>
              <w:t>gy</w:t>
            </w:r>
            <w:r>
              <w:rPr>
                <w:color w:val="auto"/>
                <w:sz w:val="28"/>
                <w:szCs w:val="28"/>
              </w:rPr>
              <w:t>=</w:t>
            </w:r>
            <w:r>
              <w:rPr>
                <w:rFonts w:hint="eastAsia"/>
                <w:color w:val="auto"/>
                <w:sz w:val="28"/>
                <w:szCs w:val="28"/>
              </w:rPr>
              <w:t>0.385</w:t>
            </w:r>
            <w:r>
              <w:rPr>
                <w:color w:val="auto"/>
                <w:sz w:val="28"/>
                <w:szCs w:val="28"/>
              </w:rPr>
              <w:t>×</w:t>
            </w:r>
            <w:r>
              <w:rPr>
                <w:rFonts w:hint="eastAsia"/>
                <w:color w:val="auto"/>
                <w:sz w:val="28"/>
                <w:szCs w:val="28"/>
              </w:rPr>
              <w:t>11.214M</w:t>
            </w:r>
            <w:r>
              <w:rPr>
                <w:color w:val="auto"/>
                <w:sz w:val="28"/>
                <w:szCs w:val="28"/>
              </w:rPr>
              <w:t>J/kg+</w:t>
            </w:r>
            <w:r>
              <w:rPr>
                <w:rFonts w:hint="eastAsia"/>
                <w:color w:val="auto"/>
                <w:sz w:val="28"/>
                <w:szCs w:val="28"/>
              </w:rPr>
              <w:t>0.788</w:t>
            </w:r>
            <w:r>
              <w:rPr>
                <w:color w:val="auto"/>
                <w:sz w:val="28"/>
                <w:szCs w:val="28"/>
              </w:rPr>
              <w:t>=</w:t>
            </w:r>
            <w:r>
              <w:rPr>
                <w:rFonts w:hint="eastAsia"/>
                <w:color w:val="auto"/>
                <w:sz w:val="28"/>
                <w:szCs w:val="28"/>
              </w:rPr>
              <w:t>5.11Nm</w:t>
            </w:r>
            <w:r>
              <w:rPr>
                <w:rFonts w:hint="eastAsia"/>
                <w:color w:val="auto"/>
                <w:sz w:val="28"/>
                <w:szCs w:val="28"/>
                <w:vertAlign w:val="superscript"/>
              </w:rPr>
              <w:t>3</w:t>
            </w:r>
            <w:r>
              <w:rPr>
                <w:rFonts w:hint="eastAsia"/>
                <w:color w:val="auto"/>
                <w:sz w:val="28"/>
                <w:szCs w:val="28"/>
              </w:rPr>
              <w:t>/kg</w:t>
            </w:r>
            <w:r>
              <w:rPr>
                <w:color w:val="auto"/>
                <w:sz w:val="28"/>
                <w:szCs w:val="28"/>
              </w:rPr>
              <w:t>。项目生物质锅炉生物质燃料年使用量为</w:t>
            </w:r>
            <w:r>
              <w:rPr>
                <w:rFonts w:hint="eastAsia"/>
                <w:color w:val="auto"/>
                <w:sz w:val="28"/>
                <w:szCs w:val="28"/>
              </w:rPr>
              <w:t>250</w:t>
            </w:r>
            <w:r>
              <w:rPr>
                <w:color w:val="auto"/>
                <w:sz w:val="28"/>
                <w:szCs w:val="28"/>
              </w:rPr>
              <w:t>t/a，则生物质锅炉烟气排放量为</w:t>
            </w:r>
            <w:r>
              <w:rPr>
                <w:rFonts w:hint="eastAsia"/>
                <w:color w:val="auto"/>
                <w:sz w:val="28"/>
                <w:szCs w:val="28"/>
              </w:rPr>
              <w:t>1277500</w:t>
            </w:r>
            <w:r>
              <w:rPr>
                <w:color w:val="auto"/>
                <w:sz w:val="28"/>
                <w:szCs w:val="28"/>
              </w:rPr>
              <w:t>Nm</w:t>
            </w:r>
            <w:r>
              <w:rPr>
                <w:rFonts w:hint="eastAsia"/>
                <w:color w:val="auto"/>
                <w:sz w:val="28"/>
                <w:szCs w:val="28"/>
                <w:vertAlign w:val="superscript"/>
              </w:rPr>
              <w:t>3</w:t>
            </w:r>
            <w:r>
              <w:rPr>
                <w:color w:val="auto"/>
                <w:sz w:val="28"/>
                <w:szCs w:val="28"/>
              </w:rPr>
              <w:t>/a。</w:t>
            </w:r>
          </w:p>
          <w:p>
            <w:pPr>
              <w:spacing w:line="520" w:lineRule="exact"/>
              <w:ind w:firstLine="560" w:firstLineChars="200"/>
              <w:rPr>
                <w:color w:val="auto"/>
              </w:rPr>
            </w:pPr>
            <w:r>
              <w:rPr>
                <w:rFonts w:hint="eastAsia"/>
                <w:color w:val="auto"/>
                <w:sz w:val="28"/>
                <w:szCs w:val="28"/>
              </w:rPr>
              <w:t>锅炉产生的烟尘通过排风管引至布袋除尘器，锅炉燃烧生物质产生烟气量为127.75×</w:t>
            </w:r>
            <w:r>
              <w:rPr>
                <w:color w:val="auto"/>
                <w:sz w:val="28"/>
                <w:szCs w:val="28"/>
              </w:rPr>
              <w:t>10</w:t>
            </w:r>
            <w:r>
              <w:rPr>
                <w:color w:val="auto"/>
                <w:sz w:val="28"/>
                <w:szCs w:val="28"/>
                <w:vertAlign w:val="superscript"/>
              </w:rPr>
              <w:t>4</w:t>
            </w:r>
            <w:r>
              <w:rPr>
                <w:color w:val="auto"/>
                <w:sz w:val="28"/>
                <w:szCs w:val="28"/>
              </w:rPr>
              <w:t>Nm</w:t>
            </w:r>
            <w:r>
              <w:rPr>
                <w:color w:val="auto"/>
                <w:sz w:val="28"/>
                <w:szCs w:val="28"/>
                <w:vertAlign w:val="superscript"/>
              </w:rPr>
              <w:t>3</w:t>
            </w:r>
            <w:r>
              <w:rPr>
                <w:color w:val="auto"/>
                <w:sz w:val="28"/>
                <w:szCs w:val="28"/>
              </w:rPr>
              <w:t>/a</w:t>
            </w:r>
            <w:r>
              <w:rPr>
                <w:rFonts w:hint="eastAsia"/>
                <w:color w:val="auto"/>
                <w:sz w:val="28"/>
                <w:szCs w:val="28"/>
              </w:rPr>
              <w:t>，除尘器净化效率为</w:t>
            </w:r>
            <w:r>
              <w:rPr>
                <w:color w:val="auto"/>
                <w:sz w:val="28"/>
                <w:szCs w:val="28"/>
              </w:rPr>
              <w:t>99%</w:t>
            </w:r>
            <w:r>
              <w:rPr>
                <w:rFonts w:hint="eastAsia"/>
                <w:color w:val="auto"/>
                <w:sz w:val="28"/>
                <w:szCs w:val="28"/>
              </w:rPr>
              <w:t>。</w:t>
            </w:r>
          </w:p>
          <w:p>
            <w:pPr>
              <w:spacing w:line="520" w:lineRule="exact"/>
              <w:ind w:firstLine="560" w:firstLineChars="200"/>
              <w:rPr>
                <w:color w:val="auto"/>
                <w:sz w:val="28"/>
                <w:szCs w:val="28"/>
              </w:rPr>
            </w:pPr>
            <w:r>
              <w:rPr>
                <w:color w:val="auto"/>
                <w:sz w:val="28"/>
                <w:szCs w:val="28"/>
              </w:rPr>
              <w:t>②污染因子</w:t>
            </w:r>
          </w:p>
          <w:p>
            <w:pPr>
              <w:spacing w:line="520" w:lineRule="exact"/>
              <w:ind w:firstLine="560" w:firstLineChars="200"/>
              <w:rPr>
                <w:color w:val="auto"/>
                <w:sz w:val="28"/>
                <w:szCs w:val="28"/>
              </w:rPr>
            </w:pPr>
            <w:r>
              <w:rPr>
                <w:rFonts w:hint="eastAsia"/>
                <w:color w:val="auto"/>
                <w:sz w:val="28"/>
                <w:szCs w:val="28"/>
              </w:rPr>
              <w:t>污染因子</w:t>
            </w:r>
            <w:r>
              <w:rPr>
                <w:color w:val="auto"/>
                <w:sz w:val="28"/>
                <w:szCs w:val="28"/>
              </w:rPr>
              <w:t>核算根据《排污许可证申请与核发技术规范锅炉》</w:t>
            </w:r>
            <w:r>
              <w:rPr>
                <w:rFonts w:hint="eastAsia"/>
                <w:color w:val="auto"/>
                <w:sz w:val="28"/>
                <w:szCs w:val="28"/>
                <w:lang w:val="en-US" w:eastAsia="zh-CN"/>
              </w:rPr>
              <w:t>（</w:t>
            </w:r>
            <w:r>
              <w:rPr>
                <w:color w:val="auto"/>
                <w:sz w:val="28"/>
                <w:szCs w:val="28"/>
              </w:rPr>
              <w:t>HJ953-2018</w:t>
            </w:r>
            <w:r>
              <w:rPr>
                <w:rFonts w:hint="eastAsia"/>
                <w:color w:val="auto"/>
                <w:sz w:val="28"/>
                <w:szCs w:val="28"/>
                <w:lang w:val="en-US" w:eastAsia="zh-CN"/>
              </w:rPr>
              <w:t>）</w:t>
            </w:r>
            <w:r>
              <w:rPr>
                <w:rFonts w:hint="eastAsia"/>
                <w:color w:val="auto"/>
                <w:sz w:val="28"/>
                <w:szCs w:val="28"/>
              </w:rPr>
              <w:t>中</w:t>
            </w:r>
            <w:r>
              <w:rPr>
                <w:color w:val="auto"/>
                <w:sz w:val="28"/>
                <w:szCs w:val="28"/>
              </w:rPr>
              <w:t>的</w:t>
            </w:r>
            <w:r>
              <w:rPr>
                <w:rFonts w:hint="eastAsia"/>
                <w:color w:val="auto"/>
                <w:sz w:val="28"/>
                <w:szCs w:val="28"/>
              </w:rPr>
              <w:t>附录F.4燃生物质工业锅炉废气产排污系数表中</w:t>
            </w:r>
            <w:r>
              <w:rPr>
                <w:color w:val="auto"/>
                <w:sz w:val="28"/>
                <w:szCs w:val="28"/>
              </w:rPr>
              <w:t>相关排污</w:t>
            </w:r>
            <w:r>
              <w:rPr>
                <w:rFonts w:hint="eastAsia"/>
                <w:color w:val="auto"/>
                <w:sz w:val="28"/>
                <w:szCs w:val="28"/>
              </w:rPr>
              <w:t>系数</w:t>
            </w:r>
            <w:r>
              <w:rPr>
                <w:color w:val="auto"/>
                <w:sz w:val="28"/>
                <w:szCs w:val="28"/>
              </w:rPr>
              <w:t>进行核算</w:t>
            </w:r>
            <w:r>
              <w:rPr>
                <w:rFonts w:hint="eastAsia"/>
                <w:color w:val="auto"/>
                <w:sz w:val="28"/>
                <w:szCs w:val="28"/>
              </w:rPr>
              <w:t>。</w:t>
            </w:r>
          </w:p>
          <w:p>
            <w:pPr>
              <w:spacing w:line="520" w:lineRule="exact"/>
              <w:ind w:firstLine="560" w:firstLineChars="200"/>
              <w:rPr>
                <w:color w:val="auto"/>
                <w:sz w:val="28"/>
                <w:szCs w:val="28"/>
              </w:rPr>
            </w:pPr>
            <w:r>
              <w:rPr>
                <w:color w:val="auto"/>
                <w:sz w:val="28"/>
                <w:szCs w:val="28"/>
              </w:rPr>
              <w:t>《排污许可证申请与核发技术规范锅炉》</w:t>
            </w:r>
            <w:r>
              <w:rPr>
                <w:rFonts w:hint="eastAsia"/>
                <w:color w:val="auto"/>
                <w:sz w:val="28"/>
                <w:szCs w:val="28"/>
                <w:lang w:eastAsia="zh-CN"/>
              </w:rPr>
              <w:t>（</w:t>
            </w:r>
            <w:r>
              <w:rPr>
                <w:color w:val="auto"/>
                <w:sz w:val="28"/>
                <w:szCs w:val="28"/>
              </w:rPr>
              <w:t>HJ953-2018</w:t>
            </w:r>
            <w:r>
              <w:rPr>
                <w:rFonts w:hint="eastAsia"/>
                <w:color w:val="auto"/>
                <w:sz w:val="28"/>
                <w:szCs w:val="28"/>
                <w:lang w:eastAsia="zh-CN"/>
              </w:rPr>
              <w:t>）</w:t>
            </w:r>
            <w:r>
              <w:rPr>
                <w:rFonts w:hint="eastAsia"/>
                <w:color w:val="auto"/>
                <w:sz w:val="28"/>
                <w:szCs w:val="28"/>
              </w:rPr>
              <w:t>中</w:t>
            </w:r>
            <w:r>
              <w:rPr>
                <w:color w:val="auto"/>
                <w:sz w:val="28"/>
                <w:szCs w:val="28"/>
              </w:rPr>
              <w:t>的</w:t>
            </w:r>
            <w:r>
              <w:rPr>
                <w:rFonts w:hint="eastAsia"/>
                <w:color w:val="auto"/>
                <w:sz w:val="28"/>
                <w:szCs w:val="28"/>
              </w:rPr>
              <w:t>附录F.4</w:t>
            </w:r>
            <w:r>
              <w:rPr>
                <w:color w:val="auto"/>
                <w:sz w:val="28"/>
                <w:szCs w:val="28"/>
              </w:rPr>
              <w:t>如下：</w:t>
            </w:r>
          </w:p>
          <w:p>
            <w:pPr>
              <w:widowControl/>
              <w:ind w:firstLine="480" w:firstLineChars="200"/>
              <w:rPr>
                <w:color w:val="auto"/>
              </w:rPr>
            </w:pPr>
            <w:r>
              <w:rPr>
                <w:rFonts w:eastAsia="黑体"/>
                <w:color w:val="auto"/>
                <w:kern w:val="0"/>
                <w:sz w:val="24"/>
              </w:rPr>
              <w:t>表</w:t>
            </w:r>
            <w:r>
              <w:rPr>
                <w:rFonts w:hint="eastAsia" w:eastAsia="黑体"/>
                <w:color w:val="auto"/>
                <w:kern w:val="0"/>
                <w:sz w:val="24"/>
              </w:rPr>
              <w:t xml:space="preserve">18   </w:t>
            </w:r>
            <w:r>
              <w:rPr>
                <w:rFonts w:eastAsia="黑体"/>
                <w:color w:val="auto"/>
                <w:kern w:val="0"/>
                <w:sz w:val="24"/>
              </w:rPr>
              <w:t xml:space="preserve">    </w:t>
            </w:r>
            <w:r>
              <w:rPr>
                <w:rFonts w:hint="eastAsia" w:eastAsia="黑体"/>
                <w:color w:val="auto"/>
                <w:kern w:val="0"/>
                <w:sz w:val="24"/>
              </w:rPr>
              <w:t>燃生物质工业锅炉的废气产排污系数        单位：kg/t</w:t>
            </w:r>
          </w:p>
          <w:tbl>
            <w:tblPr>
              <w:tblStyle w:val="18"/>
              <w:tblW w:w="8056"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0" w:type="dxa"/>
                <w:bottom w:w="0" w:type="dxa"/>
                <w:right w:w="0" w:type="dxa"/>
              </w:tblCellMar>
            </w:tblPr>
            <w:tblGrid>
              <w:gridCol w:w="889"/>
              <w:gridCol w:w="782"/>
              <w:gridCol w:w="782"/>
              <w:gridCol w:w="804"/>
              <w:gridCol w:w="1400"/>
              <w:gridCol w:w="1133"/>
              <w:gridCol w:w="1297"/>
              <w:gridCol w:w="96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865" w:hRule="atLeast"/>
                <w:jc w:val="center"/>
              </w:trPr>
              <w:tc>
                <w:tcPr>
                  <w:tcW w:w="889" w:type="dxa"/>
                  <w:vAlign w:val="center"/>
                </w:tcPr>
                <w:p>
                  <w:pPr>
                    <w:jc w:val="center"/>
                    <w:rPr>
                      <w:color w:val="auto"/>
                      <w:szCs w:val="21"/>
                    </w:rPr>
                  </w:pPr>
                  <w:r>
                    <w:rPr>
                      <w:rFonts w:hint="eastAsia"/>
                      <w:color w:val="auto"/>
                      <w:szCs w:val="21"/>
                    </w:rPr>
                    <w:t>产品名称</w:t>
                  </w:r>
                </w:p>
              </w:tc>
              <w:tc>
                <w:tcPr>
                  <w:tcW w:w="782" w:type="dxa"/>
                  <w:vAlign w:val="center"/>
                </w:tcPr>
                <w:p>
                  <w:pPr>
                    <w:jc w:val="center"/>
                    <w:rPr>
                      <w:color w:val="auto"/>
                      <w:szCs w:val="21"/>
                    </w:rPr>
                  </w:pPr>
                  <w:r>
                    <w:rPr>
                      <w:rFonts w:hint="eastAsia"/>
                      <w:color w:val="auto"/>
                      <w:szCs w:val="21"/>
                    </w:rPr>
                    <w:t>燃料名称</w:t>
                  </w:r>
                </w:p>
              </w:tc>
              <w:tc>
                <w:tcPr>
                  <w:tcW w:w="782" w:type="dxa"/>
                  <w:vAlign w:val="center"/>
                </w:tcPr>
                <w:p>
                  <w:pPr>
                    <w:jc w:val="center"/>
                    <w:rPr>
                      <w:color w:val="auto"/>
                      <w:szCs w:val="21"/>
                    </w:rPr>
                  </w:pPr>
                  <w:r>
                    <w:rPr>
                      <w:rFonts w:hint="eastAsia"/>
                      <w:color w:val="auto"/>
                      <w:szCs w:val="21"/>
                    </w:rPr>
                    <w:t>工艺名称</w:t>
                  </w:r>
                </w:p>
              </w:tc>
              <w:tc>
                <w:tcPr>
                  <w:tcW w:w="804" w:type="dxa"/>
                  <w:vAlign w:val="center"/>
                </w:tcPr>
                <w:p>
                  <w:pPr>
                    <w:jc w:val="center"/>
                    <w:rPr>
                      <w:color w:val="auto"/>
                      <w:szCs w:val="21"/>
                    </w:rPr>
                  </w:pPr>
                  <w:r>
                    <w:rPr>
                      <w:rFonts w:hint="eastAsia"/>
                      <w:color w:val="auto"/>
                      <w:szCs w:val="21"/>
                    </w:rPr>
                    <w:t>规模等级</w:t>
                  </w:r>
                </w:p>
              </w:tc>
              <w:tc>
                <w:tcPr>
                  <w:tcW w:w="1400" w:type="dxa"/>
                  <w:vAlign w:val="center"/>
                </w:tcPr>
                <w:p>
                  <w:pPr>
                    <w:jc w:val="center"/>
                    <w:rPr>
                      <w:color w:val="auto"/>
                      <w:szCs w:val="21"/>
                    </w:rPr>
                  </w:pPr>
                  <w:r>
                    <w:rPr>
                      <w:rFonts w:hint="eastAsia"/>
                      <w:color w:val="auto"/>
                      <w:szCs w:val="21"/>
                    </w:rPr>
                    <w:t>污染物指标</w:t>
                  </w:r>
                </w:p>
              </w:tc>
              <w:tc>
                <w:tcPr>
                  <w:tcW w:w="1133" w:type="dxa"/>
                  <w:vAlign w:val="center"/>
                </w:tcPr>
                <w:p>
                  <w:pPr>
                    <w:jc w:val="center"/>
                    <w:rPr>
                      <w:color w:val="auto"/>
                      <w:szCs w:val="21"/>
                    </w:rPr>
                  </w:pPr>
                  <w:r>
                    <w:rPr>
                      <w:rFonts w:hint="eastAsia"/>
                      <w:color w:val="auto"/>
                      <w:szCs w:val="21"/>
                    </w:rPr>
                    <w:t>产污系数</w:t>
                  </w:r>
                </w:p>
              </w:tc>
              <w:tc>
                <w:tcPr>
                  <w:tcW w:w="1297" w:type="dxa"/>
                  <w:vAlign w:val="center"/>
                </w:tcPr>
                <w:p>
                  <w:pPr>
                    <w:jc w:val="center"/>
                    <w:rPr>
                      <w:color w:val="auto"/>
                      <w:szCs w:val="21"/>
                    </w:rPr>
                  </w:pPr>
                  <w:r>
                    <w:rPr>
                      <w:rFonts w:hint="eastAsia"/>
                      <w:color w:val="auto"/>
                      <w:szCs w:val="21"/>
                    </w:rPr>
                    <w:t>末端治理技术名称</w:t>
                  </w:r>
                </w:p>
              </w:tc>
              <w:tc>
                <w:tcPr>
                  <w:tcW w:w="969" w:type="dxa"/>
                  <w:vAlign w:val="center"/>
                </w:tcPr>
                <w:p>
                  <w:pPr>
                    <w:jc w:val="center"/>
                    <w:rPr>
                      <w:color w:val="auto"/>
                      <w:szCs w:val="21"/>
                    </w:rPr>
                  </w:pPr>
                  <w:r>
                    <w:rPr>
                      <w:rFonts w:hint="eastAsia"/>
                      <w:color w:val="auto"/>
                      <w:szCs w:val="21"/>
                    </w:rPr>
                    <w:t>排污系数</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315" w:hRule="atLeast"/>
                <w:jc w:val="center"/>
              </w:trPr>
              <w:tc>
                <w:tcPr>
                  <w:tcW w:w="889" w:type="dxa"/>
                  <w:vMerge w:val="restart"/>
                  <w:vAlign w:val="center"/>
                </w:tcPr>
                <w:p>
                  <w:pPr>
                    <w:jc w:val="center"/>
                    <w:rPr>
                      <w:color w:val="auto"/>
                      <w:sz w:val="18"/>
                      <w:szCs w:val="21"/>
                    </w:rPr>
                  </w:pPr>
                  <w:r>
                    <w:rPr>
                      <w:rFonts w:hint="eastAsia"/>
                      <w:color w:val="auto"/>
                      <w:szCs w:val="21"/>
                    </w:rPr>
                    <w:t>蒸汽/热水/其他</w:t>
                  </w:r>
                </w:p>
              </w:tc>
              <w:tc>
                <w:tcPr>
                  <w:tcW w:w="782" w:type="dxa"/>
                  <w:vMerge w:val="restart"/>
                  <w:vAlign w:val="center"/>
                </w:tcPr>
                <w:p>
                  <w:pPr>
                    <w:jc w:val="center"/>
                    <w:rPr>
                      <w:color w:val="auto"/>
                      <w:sz w:val="18"/>
                      <w:szCs w:val="21"/>
                      <w:vertAlign w:val="subscript"/>
                    </w:rPr>
                  </w:pPr>
                  <w:r>
                    <w:rPr>
                      <w:rFonts w:hint="eastAsia"/>
                      <w:color w:val="auto"/>
                      <w:szCs w:val="21"/>
                    </w:rPr>
                    <w:t>生物质</w:t>
                  </w:r>
                </w:p>
              </w:tc>
              <w:tc>
                <w:tcPr>
                  <w:tcW w:w="782" w:type="dxa"/>
                  <w:vMerge w:val="restart"/>
                  <w:vAlign w:val="center"/>
                </w:tcPr>
                <w:p>
                  <w:pPr>
                    <w:jc w:val="center"/>
                    <w:rPr>
                      <w:color w:val="auto"/>
                      <w:szCs w:val="21"/>
                    </w:rPr>
                  </w:pPr>
                  <w:r>
                    <w:rPr>
                      <w:rFonts w:hint="eastAsia"/>
                      <w:color w:val="auto"/>
                      <w:szCs w:val="21"/>
                    </w:rPr>
                    <w:t>层燃炉</w:t>
                  </w:r>
                </w:p>
              </w:tc>
              <w:tc>
                <w:tcPr>
                  <w:tcW w:w="804" w:type="dxa"/>
                  <w:vMerge w:val="restart"/>
                  <w:vAlign w:val="center"/>
                </w:tcPr>
                <w:p>
                  <w:pPr>
                    <w:jc w:val="center"/>
                    <w:rPr>
                      <w:color w:val="auto"/>
                      <w:szCs w:val="21"/>
                    </w:rPr>
                  </w:pPr>
                  <w:r>
                    <w:rPr>
                      <w:rFonts w:hint="eastAsia"/>
                      <w:color w:val="auto"/>
                      <w:szCs w:val="21"/>
                    </w:rPr>
                    <w:t>所有规模</w:t>
                  </w:r>
                </w:p>
              </w:tc>
              <w:tc>
                <w:tcPr>
                  <w:tcW w:w="1400" w:type="dxa"/>
                  <w:vAlign w:val="center"/>
                </w:tcPr>
                <w:p>
                  <w:pPr>
                    <w:jc w:val="center"/>
                    <w:rPr>
                      <w:color w:val="auto"/>
                      <w:szCs w:val="21"/>
                    </w:rPr>
                  </w:pPr>
                  <w:r>
                    <w:rPr>
                      <w:rFonts w:hint="eastAsia"/>
                      <w:color w:val="auto"/>
                      <w:szCs w:val="21"/>
                    </w:rPr>
                    <w:t>二氧化硫</w:t>
                  </w:r>
                </w:p>
              </w:tc>
              <w:tc>
                <w:tcPr>
                  <w:tcW w:w="1133" w:type="dxa"/>
                  <w:vAlign w:val="center"/>
                </w:tcPr>
                <w:p>
                  <w:pPr>
                    <w:jc w:val="center"/>
                    <w:rPr>
                      <w:color w:val="auto"/>
                      <w:szCs w:val="21"/>
                    </w:rPr>
                  </w:pPr>
                  <w:r>
                    <w:rPr>
                      <w:rFonts w:hint="eastAsia"/>
                      <w:color w:val="auto"/>
                      <w:szCs w:val="21"/>
                    </w:rPr>
                    <w:t>17S</w:t>
                  </w:r>
                </w:p>
              </w:tc>
              <w:tc>
                <w:tcPr>
                  <w:tcW w:w="1297" w:type="dxa"/>
                  <w:vAlign w:val="center"/>
                </w:tcPr>
                <w:p>
                  <w:pPr>
                    <w:jc w:val="center"/>
                    <w:rPr>
                      <w:color w:val="auto"/>
                      <w:szCs w:val="21"/>
                    </w:rPr>
                  </w:pPr>
                  <w:r>
                    <w:rPr>
                      <w:rFonts w:hint="eastAsia"/>
                      <w:color w:val="auto"/>
                      <w:szCs w:val="21"/>
                    </w:rPr>
                    <w:t>直排</w:t>
                  </w:r>
                </w:p>
              </w:tc>
              <w:tc>
                <w:tcPr>
                  <w:tcW w:w="969" w:type="dxa"/>
                  <w:vAlign w:val="center"/>
                </w:tcPr>
                <w:p>
                  <w:pPr>
                    <w:jc w:val="center"/>
                    <w:rPr>
                      <w:color w:val="auto"/>
                      <w:szCs w:val="21"/>
                    </w:rPr>
                  </w:pPr>
                  <w:r>
                    <w:rPr>
                      <w:rFonts w:hint="eastAsia"/>
                      <w:color w:val="auto"/>
                      <w:szCs w:val="21"/>
                    </w:rPr>
                    <w:t>17S</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467" w:hRule="atLeast"/>
                <w:jc w:val="center"/>
              </w:trPr>
              <w:tc>
                <w:tcPr>
                  <w:tcW w:w="889" w:type="dxa"/>
                  <w:vMerge w:val="continue"/>
                  <w:vAlign w:val="center"/>
                </w:tcPr>
                <w:p>
                  <w:pPr>
                    <w:jc w:val="center"/>
                    <w:rPr>
                      <w:color w:val="auto"/>
                      <w:szCs w:val="21"/>
                    </w:rPr>
                  </w:pPr>
                </w:p>
              </w:tc>
              <w:tc>
                <w:tcPr>
                  <w:tcW w:w="782" w:type="dxa"/>
                  <w:vMerge w:val="continue"/>
                  <w:vAlign w:val="center"/>
                </w:tcPr>
                <w:p>
                  <w:pPr>
                    <w:jc w:val="center"/>
                    <w:rPr>
                      <w:color w:val="auto"/>
                      <w:szCs w:val="21"/>
                      <w:vertAlign w:val="subscript"/>
                    </w:rPr>
                  </w:pPr>
                </w:p>
              </w:tc>
              <w:tc>
                <w:tcPr>
                  <w:tcW w:w="782" w:type="dxa"/>
                  <w:vMerge w:val="continue"/>
                  <w:vAlign w:val="center"/>
                </w:tcPr>
                <w:p>
                  <w:pPr>
                    <w:jc w:val="center"/>
                    <w:rPr>
                      <w:color w:val="auto"/>
                      <w:szCs w:val="21"/>
                    </w:rPr>
                  </w:pPr>
                </w:p>
              </w:tc>
              <w:tc>
                <w:tcPr>
                  <w:tcW w:w="804" w:type="dxa"/>
                  <w:vMerge w:val="continue"/>
                  <w:vAlign w:val="center"/>
                </w:tcPr>
                <w:p>
                  <w:pPr>
                    <w:jc w:val="center"/>
                    <w:rPr>
                      <w:color w:val="auto"/>
                      <w:szCs w:val="21"/>
                    </w:rPr>
                  </w:pPr>
                </w:p>
              </w:tc>
              <w:tc>
                <w:tcPr>
                  <w:tcW w:w="1400" w:type="dxa"/>
                  <w:vAlign w:val="center"/>
                </w:tcPr>
                <w:p>
                  <w:pPr>
                    <w:widowControl/>
                    <w:jc w:val="center"/>
                    <w:rPr>
                      <w:color w:val="auto"/>
                      <w:kern w:val="0"/>
                      <w:szCs w:val="21"/>
                      <w:lang w:bidi="ar"/>
                    </w:rPr>
                  </w:pPr>
                  <w:r>
                    <w:rPr>
                      <w:rFonts w:hint="eastAsia"/>
                      <w:color w:val="auto"/>
                      <w:kern w:val="0"/>
                      <w:szCs w:val="21"/>
                      <w:lang w:bidi="ar"/>
                    </w:rPr>
                    <w:t>颗粒物（成型燃料）</w:t>
                  </w:r>
                </w:p>
              </w:tc>
              <w:tc>
                <w:tcPr>
                  <w:tcW w:w="1133" w:type="dxa"/>
                  <w:vAlign w:val="center"/>
                </w:tcPr>
                <w:p>
                  <w:pPr>
                    <w:widowControl/>
                    <w:jc w:val="center"/>
                    <w:rPr>
                      <w:color w:val="auto"/>
                      <w:kern w:val="0"/>
                      <w:szCs w:val="21"/>
                      <w:lang w:bidi="ar"/>
                    </w:rPr>
                  </w:pPr>
                  <w:r>
                    <w:rPr>
                      <w:rFonts w:hint="eastAsia"/>
                      <w:color w:val="auto"/>
                      <w:kern w:val="0"/>
                      <w:szCs w:val="21"/>
                      <w:lang w:bidi="ar"/>
                    </w:rPr>
                    <w:t>0.5</w:t>
                  </w:r>
                </w:p>
              </w:tc>
              <w:tc>
                <w:tcPr>
                  <w:tcW w:w="1297" w:type="dxa"/>
                  <w:vAlign w:val="center"/>
                </w:tcPr>
                <w:p>
                  <w:pPr>
                    <w:widowControl/>
                    <w:jc w:val="center"/>
                    <w:rPr>
                      <w:color w:val="auto"/>
                      <w:kern w:val="0"/>
                      <w:szCs w:val="21"/>
                      <w:lang w:bidi="ar"/>
                    </w:rPr>
                  </w:pPr>
                  <w:r>
                    <w:rPr>
                      <w:rFonts w:hint="eastAsia"/>
                      <w:color w:val="auto"/>
                      <w:szCs w:val="21"/>
                    </w:rPr>
                    <w:t>旋风除尘+袋式除尘技术</w:t>
                  </w:r>
                </w:p>
              </w:tc>
              <w:tc>
                <w:tcPr>
                  <w:tcW w:w="969" w:type="dxa"/>
                  <w:vAlign w:val="center"/>
                </w:tcPr>
                <w:p>
                  <w:pPr>
                    <w:widowControl/>
                    <w:jc w:val="center"/>
                    <w:rPr>
                      <w:color w:val="auto"/>
                      <w:kern w:val="0"/>
                      <w:szCs w:val="21"/>
                      <w:lang w:bidi="ar"/>
                    </w:rPr>
                  </w:pPr>
                  <w:r>
                    <w:rPr>
                      <w:rFonts w:hint="eastAsia"/>
                      <w:color w:val="auto"/>
                      <w:kern w:val="0"/>
                      <w:szCs w:val="21"/>
                      <w:lang w:bidi="ar"/>
                    </w:rPr>
                    <w:t>0.005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444" w:hRule="atLeast"/>
                <w:jc w:val="center"/>
              </w:trPr>
              <w:tc>
                <w:tcPr>
                  <w:tcW w:w="889" w:type="dxa"/>
                  <w:vMerge w:val="continue"/>
                  <w:vAlign w:val="center"/>
                </w:tcPr>
                <w:p>
                  <w:pPr>
                    <w:jc w:val="center"/>
                    <w:rPr>
                      <w:color w:val="auto"/>
                      <w:szCs w:val="21"/>
                    </w:rPr>
                  </w:pPr>
                </w:p>
              </w:tc>
              <w:tc>
                <w:tcPr>
                  <w:tcW w:w="782" w:type="dxa"/>
                  <w:vMerge w:val="continue"/>
                  <w:vAlign w:val="center"/>
                </w:tcPr>
                <w:p>
                  <w:pPr>
                    <w:jc w:val="center"/>
                    <w:rPr>
                      <w:color w:val="auto"/>
                      <w:szCs w:val="21"/>
                      <w:vertAlign w:val="subscript"/>
                    </w:rPr>
                  </w:pPr>
                </w:p>
              </w:tc>
              <w:tc>
                <w:tcPr>
                  <w:tcW w:w="782" w:type="dxa"/>
                  <w:vMerge w:val="continue"/>
                  <w:vAlign w:val="center"/>
                </w:tcPr>
                <w:p>
                  <w:pPr>
                    <w:jc w:val="center"/>
                    <w:rPr>
                      <w:color w:val="auto"/>
                      <w:szCs w:val="21"/>
                    </w:rPr>
                  </w:pPr>
                </w:p>
              </w:tc>
              <w:tc>
                <w:tcPr>
                  <w:tcW w:w="804" w:type="dxa"/>
                  <w:vMerge w:val="continue"/>
                  <w:vAlign w:val="center"/>
                </w:tcPr>
                <w:p>
                  <w:pPr>
                    <w:jc w:val="center"/>
                    <w:rPr>
                      <w:color w:val="auto"/>
                      <w:szCs w:val="21"/>
                    </w:rPr>
                  </w:pPr>
                </w:p>
              </w:tc>
              <w:tc>
                <w:tcPr>
                  <w:tcW w:w="1400" w:type="dxa"/>
                  <w:vAlign w:val="center"/>
                </w:tcPr>
                <w:p>
                  <w:pPr>
                    <w:widowControl/>
                    <w:jc w:val="center"/>
                    <w:rPr>
                      <w:color w:val="auto"/>
                      <w:kern w:val="0"/>
                      <w:szCs w:val="21"/>
                      <w:lang w:bidi="ar"/>
                    </w:rPr>
                  </w:pPr>
                  <w:r>
                    <w:rPr>
                      <w:rFonts w:hint="eastAsia"/>
                      <w:color w:val="auto"/>
                      <w:kern w:val="0"/>
                      <w:szCs w:val="21"/>
                      <w:lang w:bidi="ar"/>
                    </w:rPr>
                    <w:t>氮氧化物</w:t>
                  </w:r>
                </w:p>
              </w:tc>
              <w:tc>
                <w:tcPr>
                  <w:tcW w:w="1133" w:type="dxa"/>
                  <w:vAlign w:val="center"/>
                </w:tcPr>
                <w:p>
                  <w:pPr>
                    <w:widowControl/>
                    <w:jc w:val="center"/>
                    <w:rPr>
                      <w:color w:val="auto"/>
                      <w:kern w:val="0"/>
                      <w:szCs w:val="21"/>
                      <w:lang w:bidi="ar"/>
                    </w:rPr>
                  </w:pPr>
                  <w:r>
                    <w:rPr>
                      <w:rFonts w:hint="eastAsia"/>
                      <w:color w:val="auto"/>
                      <w:kern w:val="0"/>
                      <w:szCs w:val="21"/>
                      <w:lang w:val="en-US" w:eastAsia="zh-CN" w:bidi="ar"/>
                    </w:rPr>
                    <w:t>0.71</w:t>
                  </w:r>
                  <w:r>
                    <w:rPr>
                      <w:rFonts w:hint="eastAsia"/>
                      <w:color w:val="auto"/>
                      <w:kern w:val="0"/>
                      <w:szCs w:val="21"/>
                      <w:lang w:eastAsia="zh-CN" w:bidi="ar"/>
                    </w:rPr>
                    <w:t>（低氮燃烧</w:t>
                  </w:r>
                  <w:r>
                    <w:rPr>
                      <w:rFonts w:hint="eastAsia"/>
                      <w:color w:val="auto"/>
                      <w:kern w:val="0"/>
                      <w:szCs w:val="21"/>
                      <w:lang w:bidi="ar"/>
                    </w:rPr>
                    <w:t>）</w:t>
                  </w:r>
                </w:p>
              </w:tc>
              <w:tc>
                <w:tcPr>
                  <w:tcW w:w="1297" w:type="dxa"/>
                  <w:vAlign w:val="center"/>
                </w:tcPr>
                <w:p>
                  <w:pPr>
                    <w:widowControl/>
                    <w:jc w:val="center"/>
                    <w:rPr>
                      <w:color w:val="auto"/>
                      <w:kern w:val="0"/>
                      <w:szCs w:val="21"/>
                      <w:lang w:bidi="ar"/>
                    </w:rPr>
                  </w:pPr>
                  <w:r>
                    <w:rPr>
                      <w:rFonts w:hint="eastAsia"/>
                      <w:color w:val="auto"/>
                      <w:kern w:val="0"/>
                      <w:szCs w:val="21"/>
                      <w:lang w:bidi="ar"/>
                    </w:rPr>
                    <w:t>直排</w:t>
                  </w:r>
                </w:p>
              </w:tc>
              <w:tc>
                <w:tcPr>
                  <w:tcW w:w="969" w:type="dxa"/>
                  <w:vAlign w:val="center"/>
                </w:tcPr>
                <w:p>
                  <w:pPr>
                    <w:widowControl/>
                    <w:jc w:val="center"/>
                    <w:rPr>
                      <w:rFonts w:hint="default" w:eastAsia="宋体"/>
                      <w:color w:val="auto"/>
                      <w:kern w:val="0"/>
                      <w:szCs w:val="21"/>
                      <w:lang w:val="en-US" w:eastAsia="zh-CN" w:bidi="ar"/>
                    </w:rPr>
                  </w:pPr>
                  <w:r>
                    <w:rPr>
                      <w:rFonts w:hint="eastAsia"/>
                      <w:color w:val="auto"/>
                      <w:kern w:val="0"/>
                      <w:szCs w:val="21"/>
                      <w:lang w:val="en-US" w:eastAsia="zh-CN" w:bidi="ar"/>
                    </w:rPr>
                    <w:t>0.71</w:t>
                  </w:r>
                </w:p>
              </w:tc>
            </w:tr>
          </w:tbl>
          <w:p>
            <w:pPr>
              <w:spacing w:line="520" w:lineRule="exact"/>
              <w:ind w:firstLine="560" w:firstLineChars="200"/>
              <w:rPr>
                <w:color w:val="auto"/>
                <w:sz w:val="28"/>
                <w:szCs w:val="28"/>
              </w:rPr>
            </w:pPr>
            <w:r>
              <w:rPr>
                <w:rFonts w:hint="eastAsia"/>
                <w:color w:val="auto"/>
                <w:sz w:val="28"/>
                <w:szCs w:val="28"/>
              </w:rPr>
              <w:t>根据</w:t>
            </w:r>
            <w:r>
              <w:rPr>
                <w:color w:val="auto"/>
                <w:sz w:val="28"/>
                <w:szCs w:val="28"/>
              </w:rPr>
              <w:t>《排污许可证申请与核发技术规范锅炉》(HJ953-2018)</w:t>
            </w:r>
            <w:r>
              <w:rPr>
                <w:rFonts w:hint="eastAsia"/>
                <w:color w:val="auto"/>
                <w:sz w:val="28"/>
                <w:szCs w:val="28"/>
              </w:rPr>
              <w:t>中</w:t>
            </w:r>
            <w:r>
              <w:rPr>
                <w:color w:val="auto"/>
                <w:sz w:val="28"/>
                <w:szCs w:val="28"/>
              </w:rPr>
              <w:t>的</w:t>
            </w:r>
            <w:r>
              <w:rPr>
                <w:rFonts w:hint="eastAsia"/>
                <w:color w:val="auto"/>
                <w:sz w:val="28"/>
                <w:szCs w:val="28"/>
              </w:rPr>
              <w:t>附录F.4，工艺流程废气产生与排放计算结果见下表：</w:t>
            </w:r>
          </w:p>
          <w:p>
            <w:pPr>
              <w:widowControl/>
              <w:tabs>
                <w:tab w:val="left" w:pos="467"/>
              </w:tabs>
              <w:ind w:firstLine="480" w:firstLineChars="200"/>
              <w:rPr>
                <w:color w:val="auto"/>
              </w:rPr>
            </w:pPr>
            <w:r>
              <w:rPr>
                <w:rFonts w:eastAsia="黑体"/>
                <w:color w:val="auto"/>
                <w:kern w:val="0"/>
                <w:sz w:val="24"/>
              </w:rPr>
              <w:t>表</w:t>
            </w:r>
            <w:r>
              <w:rPr>
                <w:rFonts w:hint="eastAsia" w:eastAsia="黑体"/>
                <w:color w:val="auto"/>
                <w:kern w:val="0"/>
                <w:sz w:val="24"/>
              </w:rPr>
              <w:t xml:space="preserve">19   </w:t>
            </w:r>
            <w:r>
              <w:rPr>
                <w:rFonts w:eastAsia="黑体"/>
                <w:color w:val="auto"/>
                <w:kern w:val="0"/>
                <w:sz w:val="24"/>
              </w:rPr>
              <w:t xml:space="preserve">    </w:t>
            </w:r>
            <w:r>
              <w:rPr>
                <w:rFonts w:hint="eastAsia" w:eastAsia="黑体"/>
                <w:color w:val="auto"/>
                <w:kern w:val="0"/>
                <w:sz w:val="24"/>
              </w:rPr>
              <w:t xml:space="preserve">      污染因子产排情况</w:t>
            </w:r>
          </w:p>
          <w:tbl>
            <w:tblPr>
              <w:tblStyle w:val="18"/>
              <w:tblW w:w="8056" w:type="dxa"/>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0" w:type="dxa"/>
                <w:bottom w:w="0" w:type="dxa"/>
                <w:right w:w="0" w:type="dxa"/>
              </w:tblCellMar>
            </w:tblPr>
            <w:tblGrid>
              <w:gridCol w:w="1153"/>
              <w:gridCol w:w="792"/>
              <w:gridCol w:w="1131"/>
              <w:gridCol w:w="1407"/>
              <w:gridCol w:w="551"/>
              <w:gridCol w:w="1535"/>
              <w:gridCol w:w="1487"/>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744" w:hRule="atLeast"/>
                <w:jc w:val="center"/>
              </w:trPr>
              <w:tc>
                <w:tcPr>
                  <w:tcW w:w="1153" w:type="dxa"/>
                  <w:vAlign w:val="center"/>
                </w:tcPr>
                <w:p>
                  <w:pPr>
                    <w:jc w:val="center"/>
                    <w:rPr>
                      <w:color w:val="auto"/>
                      <w:szCs w:val="21"/>
                    </w:rPr>
                  </w:pPr>
                  <w:r>
                    <w:rPr>
                      <w:rFonts w:hint="eastAsia"/>
                      <w:color w:val="auto"/>
                      <w:szCs w:val="21"/>
                    </w:rPr>
                    <w:t>污染物名称</w:t>
                  </w:r>
                </w:p>
              </w:tc>
              <w:tc>
                <w:tcPr>
                  <w:tcW w:w="792" w:type="dxa"/>
                  <w:vAlign w:val="center"/>
                </w:tcPr>
                <w:p>
                  <w:pPr>
                    <w:jc w:val="center"/>
                    <w:rPr>
                      <w:color w:val="auto"/>
                      <w:szCs w:val="21"/>
                    </w:rPr>
                  </w:pPr>
                  <w:r>
                    <w:rPr>
                      <w:rFonts w:hint="eastAsia"/>
                      <w:color w:val="auto"/>
                      <w:szCs w:val="21"/>
                    </w:rPr>
                    <w:t>产生量</w:t>
                  </w:r>
                </w:p>
              </w:tc>
              <w:tc>
                <w:tcPr>
                  <w:tcW w:w="1131" w:type="dxa"/>
                  <w:vAlign w:val="center"/>
                </w:tcPr>
                <w:p>
                  <w:pPr>
                    <w:jc w:val="center"/>
                    <w:rPr>
                      <w:color w:val="auto"/>
                      <w:szCs w:val="21"/>
                    </w:rPr>
                  </w:pPr>
                  <w:r>
                    <w:rPr>
                      <w:rFonts w:hint="eastAsia"/>
                      <w:color w:val="auto"/>
                      <w:szCs w:val="21"/>
                    </w:rPr>
                    <w:t>产生浓度（mg/Nm</w:t>
                  </w:r>
                  <w:r>
                    <w:rPr>
                      <w:rFonts w:hint="eastAsia"/>
                      <w:color w:val="auto"/>
                      <w:szCs w:val="21"/>
                      <w:vertAlign w:val="superscript"/>
                    </w:rPr>
                    <w:t>3</w:t>
                  </w:r>
                  <w:r>
                    <w:rPr>
                      <w:rFonts w:hint="eastAsia"/>
                      <w:color w:val="auto"/>
                      <w:szCs w:val="21"/>
                    </w:rPr>
                    <w:t>）</w:t>
                  </w:r>
                </w:p>
              </w:tc>
              <w:tc>
                <w:tcPr>
                  <w:tcW w:w="1407" w:type="dxa"/>
                  <w:vAlign w:val="center"/>
                </w:tcPr>
                <w:p>
                  <w:pPr>
                    <w:jc w:val="center"/>
                    <w:rPr>
                      <w:color w:val="auto"/>
                      <w:szCs w:val="21"/>
                    </w:rPr>
                  </w:pPr>
                  <w:r>
                    <w:rPr>
                      <w:rFonts w:hint="eastAsia"/>
                      <w:color w:val="auto"/>
                      <w:szCs w:val="21"/>
                    </w:rPr>
                    <w:t>治理措施</w:t>
                  </w:r>
                </w:p>
              </w:tc>
              <w:tc>
                <w:tcPr>
                  <w:tcW w:w="551" w:type="dxa"/>
                  <w:vAlign w:val="center"/>
                </w:tcPr>
                <w:p>
                  <w:pPr>
                    <w:jc w:val="center"/>
                    <w:rPr>
                      <w:color w:val="auto"/>
                      <w:szCs w:val="21"/>
                    </w:rPr>
                  </w:pPr>
                  <w:r>
                    <w:rPr>
                      <w:rFonts w:hint="eastAsia"/>
                      <w:color w:val="auto"/>
                      <w:szCs w:val="21"/>
                    </w:rPr>
                    <w:t>处理效率</w:t>
                  </w:r>
                </w:p>
              </w:tc>
              <w:tc>
                <w:tcPr>
                  <w:tcW w:w="1535" w:type="dxa"/>
                  <w:vAlign w:val="center"/>
                </w:tcPr>
                <w:p>
                  <w:pPr>
                    <w:jc w:val="center"/>
                    <w:rPr>
                      <w:color w:val="auto"/>
                      <w:szCs w:val="21"/>
                    </w:rPr>
                  </w:pPr>
                  <w:r>
                    <w:rPr>
                      <w:rFonts w:hint="eastAsia"/>
                      <w:color w:val="auto"/>
                      <w:szCs w:val="21"/>
                    </w:rPr>
                    <w:t>排放量</w:t>
                  </w:r>
                </w:p>
              </w:tc>
              <w:tc>
                <w:tcPr>
                  <w:tcW w:w="1487" w:type="dxa"/>
                  <w:vAlign w:val="center"/>
                </w:tcPr>
                <w:p>
                  <w:pPr>
                    <w:jc w:val="center"/>
                    <w:rPr>
                      <w:color w:val="auto"/>
                      <w:szCs w:val="21"/>
                    </w:rPr>
                  </w:pPr>
                  <w:r>
                    <w:rPr>
                      <w:rFonts w:hint="eastAsia"/>
                      <w:color w:val="auto"/>
                      <w:szCs w:val="21"/>
                    </w:rPr>
                    <w:t>排放浓度（mg/Nm</w:t>
                  </w:r>
                  <w:r>
                    <w:rPr>
                      <w:rFonts w:hint="eastAsia"/>
                      <w:color w:val="auto"/>
                      <w:szCs w:val="21"/>
                      <w:vertAlign w:val="superscript"/>
                    </w:rPr>
                    <w:t>3</w:t>
                  </w:r>
                  <w:r>
                    <w:rPr>
                      <w:rFonts w:hint="eastAsia"/>
                      <w:color w:val="auto"/>
                      <w:szCs w:val="21"/>
                    </w:rPr>
                    <w:t>）</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408" w:hRule="atLeast"/>
                <w:jc w:val="center"/>
              </w:trPr>
              <w:tc>
                <w:tcPr>
                  <w:tcW w:w="1153" w:type="dxa"/>
                  <w:vAlign w:val="center"/>
                </w:tcPr>
                <w:p>
                  <w:pPr>
                    <w:jc w:val="center"/>
                    <w:rPr>
                      <w:color w:val="auto"/>
                      <w:szCs w:val="21"/>
                    </w:rPr>
                  </w:pPr>
                  <w:r>
                    <w:rPr>
                      <w:rFonts w:hint="eastAsia"/>
                      <w:color w:val="auto"/>
                      <w:szCs w:val="21"/>
                    </w:rPr>
                    <w:t>二氧化硫</w:t>
                  </w:r>
                </w:p>
              </w:tc>
              <w:tc>
                <w:tcPr>
                  <w:tcW w:w="792" w:type="dxa"/>
                  <w:vAlign w:val="center"/>
                </w:tcPr>
                <w:p>
                  <w:pPr>
                    <w:jc w:val="center"/>
                    <w:rPr>
                      <w:color w:val="auto"/>
                      <w:szCs w:val="21"/>
                    </w:rPr>
                  </w:pPr>
                  <w:r>
                    <w:rPr>
                      <w:rFonts w:hint="eastAsia"/>
                      <w:color w:val="auto"/>
                      <w:szCs w:val="21"/>
                    </w:rPr>
                    <w:t>0.085t/a</w:t>
                  </w:r>
                </w:p>
              </w:tc>
              <w:tc>
                <w:tcPr>
                  <w:tcW w:w="1131" w:type="dxa"/>
                  <w:vAlign w:val="center"/>
                </w:tcPr>
                <w:p>
                  <w:pPr>
                    <w:jc w:val="center"/>
                    <w:rPr>
                      <w:color w:val="auto"/>
                      <w:szCs w:val="21"/>
                    </w:rPr>
                  </w:pPr>
                  <w:r>
                    <w:rPr>
                      <w:rFonts w:hint="eastAsia"/>
                      <w:color w:val="auto"/>
                      <w:szCs w:val="21"/>
                    </w:rPr>
                    <w:t>6.65</w:t>
                  </w:r>
                </w:p>
              </w:tc>
              <w:tc>
                <w:tcPr>
                  <w:tcW w:w="1407" w:type="dxa"/>
                  <w:vAlign w:val="center"/>
                </w:tcPr>
                <w:p>
                  <w:pPr>
                    <w:jc w:val="center"/>
                    <w:rPr>
                      <w:color w:val="auto"/>
                      <w:szCs w:val="21"/>
                    </w:rPr>
                  </w:pPr>
                  <w:r>
                    <w:rPr>
                      <w:rFonts w:hint="eastAsia"/>
                      <w:color w:val="auto"/>
                      <w:szCs w:val="21"/>
                    </w:rPr>
                    <w:t>/</w:t>
                  </w:r>
                </w:p>
              </w:tc>
              <w:tc>
                <w:tcPr>
                  <w:tcW w:w="551" w:type="dxa"/>
                  <w:vAlign w:val="center"/>
                </w:tcPr>
                <w:p>
                  <w:pPr>
                    <w:jc w:val="center"/>
                    <w:rPr>
                      <w:color w:val="auto"/>
                      <w:szCs w:val="21"/>
                    </w:rPr>
                  </w:pPr>
                  <w:r>
                    <w:rPr>
                      <w:rFonts w:hint="eastAsia"/>
                      <w:color w:val="auto"/>
                      <w:szCs w:val="21"/>
                    </w:rPr>
                    <w:t>/</w:t>
                  </w:r>
                </w:p>
              </w:tc>
              <w:tc>
                <w:tcPr>
                  <w:tcW w:w="1535" w:type="dxa"/>
                  <w:vAlign w:val="center"/>
                </w:tcPr>
                <w:p>
                  <w:pPr>
                    <w:jc w:val="center"/>
                    <w:rPr>
                      <w:color w:val="auto"/>
                      <w:szCs w:val="21"/>
                    </w:rPr>
                  </w:pPr>
                  <w:r>
                    <w:rPr>
                      <w:rFonts w:hint="eastAsia"/>
                      <w:color w:val="auto"/>
                      <w:szCs w:val="21"/>
                    </w:rPr>
                    <w:t>0.085t/a</w:t>
                  </w:r>
                </w:p>
              </w:tc>
              <w:tc>
                <w:tcPr>
                  <w:tcW w:w="1487" w:type="dxa"/>
                  <w:vAlign w:val="center"/>
                </w:tcPr>
                <w:p>
                  <w:pPr>
                    <w:jc w:val="center"/>
                    <w:rPr>
                      <w:color w:val="auto"/>
                      <w:szCs w:val="21"/>
                    </w:rPr>
                  </w:pPr>
                  <w:r>
                    <w:rPr>
                      <w:rFonts w:hint="eastAsia"/>
                      <w:color w:val="auto"/>
                      <w:szCs w:val="21"/>
                    </w:rPr>
                    <w:t>6.65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710" w:hRule="atLeast"/>
                <w:jc w:val="center"/>
              </w:trPr>
              <w:tc>
                <w:tcPr>
                  <w:tcW w:w="1153" w:type="dxa"/>
                  <w:vAlign w:val="center"/>
                </w:tcPr>
                <w:p>
                  <w:pPr>
                    <w:widowControl/>
                    <w:jc w:val="center"/>
                    <w:rPr>
                      <w:color w:val="auto"/>
                      <w:kern w:val="0"/>
                      <w:szCs w:val="21"/>
                      <w:lang w:bidi="ar"/>
                    </w:rPr>
                  </w:pPr>
                  <w:r>
                    <w:rPr>
                      <w:rFonts w:hint="eastAsia"/>
                      <w:color w:val="auto"/>
                      <w:kern w:val="0"/>
                      <w:szCs w:val="21"/>
                      <w:lang w:bidi="ar"/>
                    </w:rPr>
                    <w:t>颗粒物（成型燃料）</w:t>
                  </w:r>
                </w:p>
              </w:tc>
              <w:tc>
                <w:tcPr>
                  <w:tcW w:w="792" w:type="dxa"/>
                  <w:vAlign w:val="center"/>
                </w:tcPr>
                <w:p>
                  <w:pPr>
                    <w:jc w:val="center"/>
                    <w:rPr>
                      <w:color w:val="auto"/>
                      <w:szCs w:val="21"/>
                      <w:vertAlign w:val="subscript"/>
                    </w:rPr>
                  </w:pPr>
                  <w:r>
                    <w:rPr>
                      <w:rFonts w:hint="eastAsia"/>
                      <w:color w:val="auto"/>
                      <w:szCs w:val="21"/>
                    </w:rPr>
                    <w:t>0.125t/a</w:t>
                  </w:r>
                </w:p>
              </w:tc>
              <w:tc>
                <w:tcPr>
                  <w:tcW w:w="1131" w:type="dxa"/>
                  <w:vAlign w:val="center"/>
                </w:tcPr>
                <w:p>
                  <w:pPr>
                    <w:jc w:val="center"/>
                    <w:rPr>
                      <w:color w:val="auto"/>
                      <w:szCs w:val="21"/>
                    </w:rPr>
                  </w:pPr>
                  <w:r>
                    <w:rPr>
                      <w:rFonts w:hint="eastAsia"/>
                      <w:color w:val="auto"/>
                      <w:szCs w:val="21"/>
                    </w:rPr>
                    <w:t>97.85</w:t>
                  </w:r>
                </w:p>
              </w:tc>
              <w:tc>
                <w:tcPr>
                  <w:tcW w:w="1407" w:type="dxa"/>
                  <w:vAlign w:val="center"/>
                </w:tcPr>
                <w:p>
                  <w:pPr>
                    <w:jc w:val="center"/>
                    <w:rPr>
                      <w:color w:val="auto"/>
                      <w:szCs w:val="21"/>
                    </w:rPr>
                  </w:pPr>
                  <w:r>
                    <w:rPr>
                      <w:rFonts w:hint="eastAsia" w:ascii="宋体" w:hAnsi="宋体" w:cs="宋体"/>
                      <w:color w:val="auto"/>
                      <w:szCs w:val="21"/>
                    </w:rPr>
                    <w:t>旋风除尘+袋式除尘技术</w:t>
                  </w:r>
                </w:p>
              </w:tc>
              <w:tc>
                <w:tcPr>
                  <w:tcW w:w="551" w:type="dxa"/>
                  <w:vAlign w:val="center"/>
                </w:tcPr>
                <w:p>
                  <w:pPr>
                    <w:jc w:val="center"/>
                    <w:rPr>
                      <w:color w:val="auto"/>
                      <w:szCs w:val="21"/>
                    </w:rPr>
                  </w:pPr>
                  <w:r>
                    <w:rPr>
                      <w:rFonts w:hint="eastAsia"/>
                      <w:color w:val="auto"/>
                      <w:szCs w:val="21"/>
                    </w:rPr>
                    <w:t>99%</w:t>
                  </w:r>
                </w:p>
              </w:tc>
              <w:tc>
                <w:tcPr>
                  <w:tcW w:w="1535" w:type="dxa"/>
                  <w:vAlign w:val="center"/>
                </w:tcPr>
                <w:p>
                  <w:pPr>
                    <w:jc w:val="center"/>
                    <w:rPr>
                      <w:color w:val="auto"/>
                      <w:szCs w:val="21"/>
                    </w:rPr>
                  </w:pPr>
                  <w:r>
                    <w:rPr>
                      <w:rFonts w:hint="eastAsia"/>
                      <w:color w:val="auto"/>
                      <w:szCs w:val="21"/>
                    </w:rPr>
                    <w:t>0.00125t/a</w:t>
                  </w:r>
                </w:p>
              </w:tc>
              <w:tc>
                <w:tcPr>
                  <w:tcW w:w="1487" w:type="dxa"/>
                  <w:vAlign w:val="center"/>
                </w:tcPr>
                <w:p>
                  <w:pPr>
                    <w:jc w:val="center"/>
                    <w:rPr>
                      <w:color w:val="auto"/>
                      <w:szCs w:val="21"/>
                    </w:rPr>
                  </w:pPr>
                  <w:r>
                    <w:rPr>
                      <w:rFonts w:hint="eastAsia"/>
                      <w:color w:val="auto"/>
                      <w:szCs w:val="21"/>
                    </w:rPr>
                    <w:t>0.98</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0" w:type="dxa"/>
                  <w:bottom w:w="0" w:type="dxa"/>
                  <w:right w:w="0" w:type="dxa"/>
                </w:tblCellMar>
              </w:tblPrEx>
              <w:trPr>
                <w:trHeight w:val="522" w:hRule="atLeast"/>
                <w:jc w:val="center"/>
              </w:trPr>
              <w:tc>
                <w:tcPr>
                  <w:tcW w:w="1153" w:type="dxa"/>
                  <w:vAlign w:val="center"/>
                </w:tcPr>
                <w:p>
                  <w:pPr>
                    <w:widowControl/>
                    <w:jc w:val="center"/>
                    <w:rPr>
                      <w:color w:val="auto"/>
                      <w:kern w:val="0"/>
                      <w:szCs w:val="21"/>
                      <w:lang w:bidi="ar"/>
                    </w:rPr>
                  </w:pPr>
                  <w:r>
                    <w:rPr>
                      <w:rFonts w:hint="eastAsia"/>
                      <w:color w:val="auto"/>
                      <w:kern w:val="0"/>
                      <w:szCs w:val="21"/>
                      <w:lang w:bidi="ar"/>
                    </w:rPr>
                    <w:t>氮氧化物</w:t>
                  </w:r>
                </w:p>
              </w:tc>
              <w:tc>
                <w:tcPr>
                  <w:tcW w:w="792" w:type="dxa"/>
                  <w:vAlign w:val="center"/>
                </w:tcPr>
                <w:p>
                  <w:pPr>
                    <w:jc w:val="center"/>
                    <w:rPr>
                      <w:color w:val="auto"/>
                      <w:szCs w:val="21"/>
                      <w:vertAlign w:val="subscript"/>
                    </w:rPr>
                  </w:pPr>
                  <w:r>
                    <w:rPr>
                      <w:rFonts w:hint="eastAsia"/>
                      <w:color w:val="auto"/>
                      <w:szCs w:val="21"/>
                      <w:lang w:eastAsia="zh-CN"/>
                    </w:rPr>
                    <w:t>0.178</w:t>
                  </w:r>
                  <w:r>
                    <w:rPr>
                      <w:rFonts w:hint="eastAsia"/>
                      <w:color w:val="auto"/>
                      <w:szCs w:val="21"/>
                    </w:rPr>
                    <w:t>t/a</w:t>
                  </w:r>
                </w:p>
              </w:tc>
              <w:tc>
                <w:tcPr>
                  <w:tcW w:w="1131" w:type="dxa"/>
                  <w:vAlign w:val="center"/>
                </w:tcPr>
                <w:p>
                  <w:pPr>
                    <w:jc w:val="center"/>
                    <w:rPr>
                      <w:rFonts w:hint="eastAsia" w:eastAsia="宋体"/>
                      <w:color w:val="auto"/>
                      <w:szCs w:val="21"/>
                      <w:lang w:eastAsia="zh-CN"/>
                    </w:rPr>
                  </w:pPr>
                  <w:r>
                    <w:rPr>
                      <w:rFonts w:hint="eastAsia"/>
                      <w:color w:val="auto"/>
                      <w:szCs w:val="21"/>
                      <w:lang w:eastAsia="zh-CN"/>
                    </w:rPr>
                    <w:t>139.33</w:t>
                  </w:r>
                </w:p>
              </w:tc>
              <w:tc>
                <w:tcPr>
                  <w:tcW w:w="1407" w:type="dxa"/>
                  <w:vAlign w:val="center"/>
                </w:tcPr>
                <w:p>
                  <w:pPr>
                    <w:jc w:val="center"/>
                    <w:rPr>
                      <w:color w:val="auto"/>
                      <w:szCs w:val="21"/>
                    </w:rPr>
                  </w:pPr>
                  <w:r>
                    <w:rPr>
                      <w:rFonts w:hint="eastAsia"/>
                      <w:color w:val="auto"/>
                      <w:szCs w:val="21"/>
                    </w:rPr>
                    <w:t>/</w:t>
                  </w:r>
                </w:p>
              </w:tc>
              <w:tc>
                <w:tcPr>
                  <w:tcW w:w="551" w:type="dxa"/>
                  <w:vAlign w:val="center"/>
                </w:tcPr>
                <w:p>
                  <w:pPr>
                    <w:widowControl/>
                    <w:jc w:val="center"/>
                    <w:rPr>
                      <w:color w:val="auto"/>
                      <w:szCs w:val="21"/>
                    </w:rPr>
                  </w:pPr>
                  <w:r>
                    <w:rPr>
                      <w:rFonts w:hint="eastAsia"/>
                      <w:color w:val="auto"/>
                      <w:szCs w:val="21"/>
                    </w:rPr>
                    <w:t>/</w:t>
                  </w:r>
                </w:p>
              </w:tc>
              <w:tc>
                <w:tcPr>
                  <w:tcW w:w="1535" w:type="dxa"/>
                  <w:vAlign w:val="center"/>
                </w:tcPr>
                <w:p>
                  <w:pPr>
                    <w:widowControl/>
                    <w:jc w:val="center"/>
                    <w:rPr>
                      <w:color w:val="auto"/>
                      <w:kern w:val="0"/>
                      <w:szCs w:val="21"/>
                      <w:lang w:bidi="ar"/>
                    </w:rPr>
                  </w:pPr>
                  <w:r>
                    <w:rPr>
                      <w:rFonts w:hint="eastAsia"/>
                      <w:color w:val="auto"/>
                      <w:szCs w:val="21"/>
                      <w:lang w:eastAsia="zh-CN"/>
                    </w:rPr>
                    <w:t>0.178</w:t>
                  </w:r>
                  <w:r>
                    <w:rPr>
                      <w:rFonts w:hint="eastAsia"/>
                      <w:color w:val="auto"/>
                      <w:szCs w:val="21"/>
                    </w:rPr>
                    <w:t>t/a</w:t>
                  </w:r>
                </w:p>
              </w:tc>
              <w:tc>
                <w:tcPr>
                  <w:tcW w:w="1487" w:type="dxa"/>
                  <w:vAlign w:val="center"/>
                </w:tcPr>
                <w:p>
                  <w:pPr>
                    <w:widowControl/>
                    <w:jc w:val="center"/>
                    <w:rPr>
                      <w:rFonts w:hint="eastAsia" w:eastAsia="宋体"/>
                      <w:color w:val="auto"/>
                      <w:kern w:val="0"/>
                      <w:szCs w:val="21"/>
                      <w:lang w:eastAsia="zh-CN" w:bidi="ar"/>
                    </w:rPr>
                  </w:pPr>
                  <w:r>
                    <w:rPr>
                      <w:rFonts w:hint="eastAsia"/>
                      <w:color w:val="auto"/>
                      <w:kern w:val="0"/>
                      <w:szCs w:val="21"/>
                      <w:lang w:eastAsia="zh-CN" w:bidi="ar"/>
                    </w:rPr>
                    <w:t>139.33</w:t>
                  </w:r>
                </w:p>
              </w:tc>
            </w:tr>
          </w:tbl>
          <w:p>
            <w:pPr>
              <w:spacing w:line="520" w:lineRule="exact"/>
              <w:ind w:firstLine="560" w:firstLineChars="200"/>
              <w:rPr>
                <w:rFonts w:hint="default" w:ascii="Times New Roman" w:hAnsi="Times New Roman" w:cs="Times New Roman"/>
                <w:color w:val="auto"/>
                <w:kern w:val="0"/>
                <w:sz w:val="28"/>
                <w:szCs w:val="28"/>
                <w:lang w:bidi="ar"/>
              </w:rPr>
            </w:pPr>
            <w:r>
              <w:rPr>
                <w:rFonts w:hint="eastAsia"/>
                <w:color w:val="auto"/>
                <w:sz w:val="28"/>
                <w:szCs w:val="28"/>
              </w:rPr>
              <w:t>从表19可知，生产过程中生物质锅炉产生二氧化硫的产生量为0.085t/a，产生浓度为6.65mg/Nm</w:t>
            </w:r>
            <w:r>
              <w:rPr>
                <w:rFonts w:hint="eastAsia"/>
                <w:color w:val="auto"/>
                <w:sz w:val="28"/>
                <w:szCs w:val="28"/>
                <w:vertAlign w:val="superscript"/>
              </w:rPr>
              <w:t>3</w:t>
            </w:r>
            <w:r>
              <w:rPr>
                <w:rFonts w:hint="eastAsia"/>
                <w:color w:val="auto"/>
                <w:sz w:val="28"/>
                <w:szCs w:val="28"/>
              </w:rPr>
              <w:t>，二氧化硫进行直排；氮氧化物的产生量为</w:t>
            </w:r>
            <w:r>
              <w:rPr>
                <w:rFonts w:hint="eastAsia"/>
                <w:color w:val="auto"/>
                <w:sz w:val="28"/>
                <w:szCs w:val="28"/>
                <w:lang w:eastAsia="zh-CN"/>
              </w:rPr>
              <w:t>0.178</w:t>
            </w:r>
            <w:r>
              <w:rPr>
                <w:rFonts w:hint="eastAsia"/>
                <w:color w:val="auto"/>
                <w:sz w:val="28"/>
                <w:szCs w:val="28"/>
              </w:rPr>
              <w:t>t/a，产生浓度为</w:t>
            </w:r>
            <w:r>
              <w:rPr>
                <w:rFonts w:hint="eastAsia"/>
                <w:color w:val="auto"/>
                <w:sz w:val="28"/>
                <w:szCs w:val="28"/>
                <w:lang w:eastAsia="zh-CN"/>
              </w:rPr>
              <w:t>139.33</w:t>
            </w:r>
            <w:r>
              <w:rPr>
                <w:rFonts w:hint="eastAsia"/>
                <w:color w:val="auto"/>
                <w:sz w:val="28"/>
                <w:szCs w:val="28"/>
              </w:rPr>
              <w:t>mg/Nm</w:t>
            </w:r>
            <w:r>
              <w:rPr>
                <w:rFonts w:hint="eastAsia"/>
                <w:color w:val="auto"/>
                <w:sz w:val="28"/>
                <w:szCs w:val="28"/>
                <w:vertAlign w:val="superscript"/>
              </w:rPr>
              <w:t>3</w:t>
            </w:r>
            <w:r>
              <w:rPr>
                <w:rFonts w:hint="eastAsia"/>
                <w:color w:val="auto"/>
                <w:sz w:val="28"/>
                <w:szCs w:val="28"/>
              </w:rPr>
              <w:t>，氮氧化物进行直排；颗粒物的产生量为0.125t/a，产生浓度为97.85mg/Nm</w:t>
            </w:r>
            <w:r>
              <w:rPr>
                <w:rFonts w:hint="eastAsia"/>
                <w:color w:val="auto"/>
                <w:sz w:val="28"/>
                <w:szCs w:val="28"/>
                <w:vertAlign w:val="superscript"/>
              </w:rPr>
              <w:t>3</w:t>
            </w:r>
            <w:r>
              <w:rPr>
                <w:rFonts w:hint="eastAsia"/>
                <w:color w:val="auto"/>
                <w:sz w:val="28"/>
                <w:szCs w:val="28"/>
              </w:rPr>
              <w:t>，经</w:t>
            </w:r>
            <w:r>
              <w:rPr>
                <w:rFonts w:hint="eastAsia" w:ascii="宋体" w:hAnsi="宋体" w:cs="宋体"/>
                <w:color w:val="auto"/>
                <w:sz w:val="28"/>
                <w:szCs w:val="28"/>
              </w:rPr>
              <w:t>旋风除尘+袋式除尘技术处理后排放浓度为</w:t>
            </w:r>
            <w:r>
              <w:rPr>
                <w:color w:val="auto"/>
                <w:sz w:val="28"/>
                <w:szCs w:val="28"/>
              </w:rPr>
              <w:t>0.98</w:t>
            </w:r>
            <w:r>
              <w:rPr>
                <w:rFonts w:hint="eastAsia"/>
                <w:color w:val="auto"/>
                <w:sz w:val="28"/>
                <w:szCs w:val="28"/>
              </w:rPr>
              <w:t>mg/Nm</w:t>
            </w:r>
            <w:r>
              <w:rPr>
                <w:rFonts w:hint="eastAsia"/>
                <w:color w:val="auto"/>
                <w:sz w:val="28"/>
                <w:szCs w:val="28"/>
                <w:vertAlign w:val="superscript"/>
              </w:rPr>
              <w:t>3</w:t>
            </w:r>
            <w:r>
              <w:rPr>
                <w:rFonts w:hint="eastAsia"/>
                <w:color w:val="auto"/>
                <w:sz w:val="28"/>
                <w:szCs w:val="28"/>
              </w:rPr>
              <w:t>，</w:t>
            </w:r>
            <w:r>
              <w:rPr>
                <w:rFonts w:hint="eastAsia"/>
                <w:color w:val="0000E1"/>
                <w:sz w:val="28"/>
                <w:szCs w:val="28"/>
              </w:rPr>
              <w:t>满足</w:t>
            </w:r>
            <w:r>
              <w:rPr>
                <w:rFonts w:eastAsia="Calibri"/>
                <w:color w:val="0000E1"/>
                <w:kern w:val="0"/>
                <w:sz w:val="28"/>
                <w:szCs w:val="28"/>
                <w:lang w:val="zh-CN"/>
              </w:rPr>
              <w:t>《</w:t>
            </w:r>
            <w:r>
              <w:rPr>
                <w:rFonts w:hint="eastAsia"/>
                <w:color w:val="0000E1"/>
                <w:kern w:val="0"/>
                <w:sz w:val="28"/>
                <w:szCs w:val="28"/>
              </w:rPr>
              <w:t>锅炉大气</w:t>
            </w:r>
            <w:r>
              <w:rPr>
                <w:rFonts w:eastAsia="Calibri"/>
                <w:color w:val="0000E1"/>
                <w:kern w:val="0"/>
                <w:sz w:val="28"/>
                <w:szCs w:val="28"/>
                <w:lang w:val="zh-CN"/>
              </w:rPr>
              <w:t>污染物排放标准》（GB</w:t>
            </w:r>
            <w:r>
              <w:rPr>
                <w:rFonts w:hint="eastAsia"/>
                <w:color w:val="0000E1"/>
                <w:kern w:val="0"/>
                <w:sz w:val="28"/>
                <w:szCs w:val="28"/>
              </w:rPr>
              <w:t>13271</w:t>
            </w:r>
            <w:r>
              <w:rPr>
                <w:rFonts w:eastAsia="Calibri"/>
                <w:color w:val="0000E1"/>
                <w:kern w:val="0"/>
                <w:sz w:val="28"/>
                <w:szCs w:val="28"/>
                <w:lang w:val="zh-CN"/>
              </w:rPr>
              <w:t>-</w:t>
            </w:r>
            <w:r>
              <w:rPr>
                <w:rFonts w:hint="eastAsia"/>
                <w:color w:val="0000E1"/>
                <w:kern w:val="0"/>
                <w:sz w:val="28"/>
                <w:szCs w:val="28"/>
              </w:rPr>
              <w:t>2014</w:t>
            </w:r>
            <w:r>
              <w:rPr>
                <w:rFonts w:eastAsia="Calibri"/>
                <w:color w:val="0000E1"/>
                <w:kern w:val="0"/>
                <w:sz w:val="28"/>
                <w:szCs w:val="28"/>
                <w:lang w:val="zh-CN"/>
              </w:rPr>
              <w:t>）</w:t>
            </w:r>
            <w:r>
              <w:rPr>
                <w:rFonts w:hint="eastAsia"/>
                <w:color w:val="0000E1"/>
                <w:kern w:val="0"/>
                <w:sz w:val="28"/>
                <w:szCs w:val="28"/>
              </w:rPr>
              <w:t>表2中</w:t>
            </w:r>
            <w:r>
              <w:rPr>
                <w:rFonts w:hint="eastAsia"/>
                <w:color w:val="0000E1"/>
                <w:kern w:val="0"/>
                <w:sz w:val="28"/>
                <w:szCs w:val="28"/>
                <w:lang w:eastAsia="zh-CN"/>
              </w:rPr>
              <w:t>燃气</w:t>
            </w:r>
            <w:r>
              <w:rPr>
                <w:rFonts w:hint="eastAsia"/>
                <w:color w:val="0000E1"/>
                <w:kern w:val="0"/>
                <w:sz w:val="28"/>
                <w:szCs w:val="28"/>
              </w:rPr>
              <w:t>锅炉排放限制</w:t>
            </w:r>
            <w:r>
              <w:rPr>
                <w:rFonts w:hint="eastAsia" w:ascii="宋体" w:hAnsi="宋体" w:cs="宋体"/>
                <w:color w:val="0000E1"/>
                <w:kern w:val="0"/>
                <w:sz w:val="28"/>
                <w:szCs w:val="28"/>
                <w:lang w:bidi="ar"/>
              </w:rPr>
              <w:t>要求（颗粒</w:t>
            </w:r>
            <w:r>
              <w:rPr>
                <w:rFonts w:hint="default" w:ascii="Times New Roman" w:hAnsi="Times New Roman" w:cs="Times New Roman"/>
                <w:color w:val="0000E1"/>
                <w:kern w:val="0"/>
                <w:sz w:val="28"/>
                <w:szCs w:val="28"/>
                <w:lang w:bidi="ar"/>
              </w:rPr>
              <w:t>物：</w:t>
            </w:r>
            <w:r>
              <w:rPr>
                <w:rFonts w:hint="eastAsia" w:cs="Times New Roman"/>
                <w:color w:val="0000E1"/>
                <w:kern w:val="0"/>
                <w:sz w:val="28"/>
                <w:szCs w:val="28"/>
                <w:lang w:val="en-US" w:eastAsia="zh-CN" w:bidi="ar"/>
              </w:rPr>
              <w:t>20</w:t>
            </w:r>
            <w:r>
              <w:rPr>
                <w:rFonts w:hint="default" w:ascii="Times New Roman" w:hAnsi="Times New Roman" w:cs="Times New Roman"/>
                <w:color w:val="0000E1"/>
                <w:kern w:val="0"/>
                <w:sz w:val="28"/>
                <w:szCs w:val="28"/>
                <w:lang w:bidi="ar"/>
              </w:rPr>
              <w:t>mg/m</w:t>
            </w:r>
            <w:r>
              <w:rPr>
                <w:rFonts w:hint="default" w:ascii="Times New Roman" w:hAnsi="Times New Roman" w:cs="Times New Roman"/>
                <w:color w:val="0000E1"/>
                <w:kern w:val="0"/>
                <w:sz w:val="28"/>
                <w:szCs w:val="28"/>
                <w:vertAlign w:val="superscript"/>
                <w:lang w:bidi="ar"/>
              </w:rPr>
              <w:t>3</w:t>
            </w:r>
            <w:r>
              <w:rPr>
                <w:rFonts w:hint="default" w:ascii="Times New Roman" w:hAnsi="Times New Roman" w:cs="Times New Roman"/>
                <w:color w:val="0000E1"/>
                <w:kern w:val="0"/>
                <w:sz w:val="28"/>
                <w:szCs w:val="28"/>
                <w:lang w:bidi="ar"/>
              </w:rPr>
              <w:t>，二氧化硫：</w:t>
            </w:r>
            <w:r>
              <w:rPr>
                <w:rFonts w:hint="eastAsia" w:cs="Times New Roman"/>
                <w:color w:val="0000E1"/>
                <w:kern w:val="0"/>
                <w:sz w:val="28"/>
                <w:szCs w:val="28"/>
                <w:lang w:val="en-US" w:eastAsia="zh-CN" w:bidi="ar"/>
              </w:rPr>
              <w:t>50</w:t>
            </w:r>
            <w:r>
              <w:rPr>
                <w:rFonts w:hint="default" w:ascii="Times New Roman" w:hAnsi="Times New Roman" w:cs="Times New Roman"/>
                <w:color w:val="0000E1"/>
                <w:kern w:val="0"/>
                <w:sz w:val="28"/>
                <w:szCs w:val="28"/>
                <w:lang w:bidi="ar"/>
              </w:rPr>
              <w:t>mg/m</w:t>
            </w:r>
            <w:r>
              <w:rPr>
                <w:rFonts w:hint="default" w:ascii="Times New Roman" w:hAnsi="Times New Roman" w:cs="Times New Roman"/>
                <w:color w:val="0000E1"/>
                <w:kern w:val="0"/>
                <w:sz w:val="28"/>
                <w:szCs w:val="28"/>
                <w:vertAlign w:val="superscript"/>
                <w:lang w:bidi="ar"/>
              </w:rPr>
              <w:t>3</w:t>
            </w:r>
            <w:r>
              <w:rPr>
                <w:rFonts w:hint="default" w:ascii="Times New Roman" w:hAnsi="Times New Roman" w:cs="Times New Roman"/>
                <w:color w:val="0000E1"/>
                <w:kern w:val="0"/>
                <w:sz w:val="28"/>
                <w:szCs w:val="28"/>
                <w:lang w:bidi="ar"/>
              </w:rPr>
              <w:t>，氮氧化物：</w:t>
            </w:r>
            <w:r>
              <w:rPr>
                <w:rFonts w:hint="eastAsia" w:cs="Times New Roman"/>
                <w:color w:val="0000E1"/>
                <w:kern w:val="0"/>
                <w:sz w:val="28"/>
                <w:szCs w:val="28"/>
                <w:lang w:val="en-US" w:eastAsia="zh-CN" w:bidi="ar"/>
              </w:rPr>
              <w:t>2</w:t>
            </w:r>
            <w:r>
              <w:rPr>
                <w:rFonts w:hint="default" w:ascii="Times New Roman" w:hAnsi="Times New Roman" w:cs="Times New Roman"/>
                <w:color w:val="0000E1"/>
                <w:kern w:val="0"/>
                <w:sz w:val="28"/>
                <w:szCs w:val="28"/>
                <w:lang w:bidi="ar"/>
              </w:rPr>
              <w:t>00mg/m</w:t>
            </w:r>
            <w:r>
              <w:rPr>
                <w:rFonts w:hint="default" w:ascii="Times New Roman" w:hAnsi="Times New Roman" w:cs="Times New Roman"/>
                <w:color w:val="0000E1"/>
                <w:kern w:val="0"/>
                <w:sz w:val="28"/>
                <w:szCs w:val="28"/>
                <w:vertAlign w:val="superscript"/>
                <w:lang w:bidi="ar"/>
              </w:rPr>
              <w:t>3</w:t>
            </w:r>
            <w:r>
              <w:rPr>
                <w:rFonts w:hint="default" w:ascii="Times New Roman" w:hAnsi="Times New Roman" w:cs="Times New Roman"/>
                <w:color w:val="0000E1"/>
                <w:kern w:val="0"/>
                <w:sz w:val="28"/>
                <w:szCs w:val="28"/>
                <w:lang w:bidi="ar"/>
              </w:rPr>
              <w:t>）。</w:t>
            </w:r>
          </w:p>
          <w:p>
            <w:pPr>
              <w:spacing w:line="520" w:lineRule="exact"/>
              <w:ind w:firstLine="560" w:firstLineChars="200"/>
              <w:rPr>
                <w:rFonts w:hint="default"/>
                <w:color w:val="auto"/>
                <w:sz w:val="28"/>
                <w:szCs w:val="28"/>
                <w:lang w:val="en-US"/>
              </w:rPr>
            </w:pPr>
            <w:r>
              <w:rPr>
                <w:rFonts w:hint="eastAsia"/>
                <w:color w:val="auto"/>
                <w:sz w:val="28"/>
                <w:szCs w:val="28"/>
                <w:lang w:eastAsia="zh-CN"/>
              </w:rPr>
              <w:t>根据调查，场内锅炉现有排气筒高度为</w:t>
            </w:r>
            <w:r>
              <w:rPr>
                <w:rFonts w:hint="eastAsia"/>
                <w:color w:val="auto"/>
                <w:sz w:val="28"/>
                <w:szCs w:val="28"/>
                <w:lang w:val="en-US" w:eastAsia="zh-CN"/>
              </w:rPr>
              <w:t>12m，根据《大气污染物综合排放标准》（GB 16297-1996），污染源排气筒一般不应低于15m，因此，本项目锅炉排气筒应加高至15m。</w:t>
            </w:r>
          </w:p>
          <w:p>
            <w:pPr>
              <w:spacing w:line="500" w:lineRule="exact"/>
              <w:rPr>
                <w:b/>
                <w:bCs/>
                <w:color w:val="auto"/>
                <w:sz w:val="28"/>
                <w:szCs w:val="28"/>
              </w:rPr>
            </w:pPr>
            <w:r>
              <w:rPr>
                <w:rFonts w:hint="eastAsia"/>
                <w:b/>
                <w:bCs/>
                <w:color w:val="auto"/>
                <w:sz w:val="28"/>
                <w:szCs w:val="28"/>
              </w:rPr>
              <w:t>1.3食堂油烟</w:t>
            </w:r>
          </w:p>
          <w:p>
            <w:pPr>
              <w:spacing w:line="520" w:lineRule="exact"/>
              <w:ind w:firstLine="560" w:firstLineChars="200"/>
              <w:rPr>
                <w:b/>
                <w:bCs/>
                <w:color w:val="auto"/>
                <w:sz w:val="28"/>
                <w:szCs w:val="28"/>
              </w:rPr>
            </w:pPr>
            <w:r>
              <w:rPr>
                <w:rFonts w:hint="eastAsia"/>
                <w:color w:val="auto"/>
                <w:sz w:val="28"/>
                <w:szCs w:val="28"/>
              </w:rPr>
              <w:t>食堂烹饪油烟为间隙、不定量排放。据调查，人均食用油消耗量按30g/人·d计算，本厂共8人，按全部就餐计，则食用油总消耗量为0.12t/a，</w:t>
            </w:r>
            <w:r>
              <w:rPr>
                <w:rFonts w:hint="eastAsia"/>
                <w:bCs/>
                <w:color w:val="auto"/>
                <w:sz w:val="28"/>
                <w:szCs w:val="28"/>
              </w:rPr>
              <w:t>食用油的挥发比例一般为2%～4%，本项目按2%计，则项目油烟产生量为0.0024t/a。油烟净化器设计总风量为4000</w:t>
            </w:r>
            <w:r>
              <w:rPr>
                <w:bCs/>
                <w:color w:val="auto"/>
                <w:sz w:val="28"/>
                <w:szCs w:val="28"/>
              </w:rPr>
              <w:t>m</w:t>
            </w:r>
            <w:r>
              <w:rPr>
                <w:bCs/>
                <w:color w:val="auto"/>
                <w:sz w:val="28"/>
                <w:szCs w:val="28"/>
                <w:vertAlign w:val="superscript"/>
              </w:rPr>
              <w:t>3</w:t>
            </w:r>
            <w:r>
              <w:rPr>
                <w:rFonts w:hint="eastAsia"/>
                <w:bCs/>
                <w:color w:val="auto"/>
                <w:sz w:val="28"/>
                <w:szCs w:val="28"/>
              </w:rPr>
              <w:t>/h，每天工作以3小时计，油烟产生浓度为0.06mg/m</w:t>
            </w:r>
            <w:r>
              <w:rPr>
                <w:bCs/>
                <w:color w:val="auto"/>
                <w:sz w:val="28"/>
                <w:szCs w:val="28"/>
                <w:vertAlign w:val="superscript"/>
              </w:rPr>
              <w:t>3</w:t>
            </w:r>
            <w:r>
              <w:rPr>
                <w:rFonts w:hint="eastAsia"/>
                <w:bCs/>
                <w:color w:val="auto"/>
                <w:sz w:val="28"/>
                <w:szCs w:val="28"/>
              </w:rPr>
              <w:t>。拟采用油烟净化处理装置进行处理后由专用排气筒由屋顶排出。油烟净化处理装置油烟去除率为75%，处理后油烟排放浓度为0.015mg/m</w:t>
            </w:r>
            <w:r>
              <w:rPr>
                <w:rFonts w:hint="eastAsia"/>
                <w:bCs/>
                <w:color w:val="auto"/>
                <w:sz w:val="28"/>
                <w:szCs w:val="28"/>
                <w:vertAlign w:val="superscript"/>
              </w:rPr>
              <w:t>3</w:t>
            </w:r>
            <w:r>
              <w:rPr>
                <w:rFonts w:hint="eastAsia"/>
                <w:bCs/>
                <w:color w:val="auto"/>
                <w:sz w:val="28"/>
                <w:szCs w:val="28"/>
              </w:rPr>
              <w:t>，排放量为0.0006t/a，满足《饮食业油烟排放标准（试行）》（GB18483-2001），小型油烟净化装置最低去除效率60%，最高允许排放浓度2.0mg/m</w:t>
            </w:r>
            <w:r>
              <w:rPr>
                <w:rFonts w:hint="eastAsia"/>
                <w:bCs/>
                <w:color w:val="auto"/>
                <w:sz w:val="28"/>
                <w:szCs w:val="28"/>
                <w:vertAlign w:val="superscript"/>
              </w:rPr>
              <w:t>3</w:t>
            </w:r>
            <w:r>
              <w:rPr>
                <w:rFonts w:hint="eastAsia"/>
                <w:bCs/>
                <w:color w:val="auto"/>
                <w:sz w:val="28"/>
                <w:szCs w:val="28"/>
              </w:rPr>
              <w:t>。</w:t>
            </w:r>
          </w:p>
          <w:p>
            <w:pPr>
              <w:spacing w:line="500" w:lineRule="exact"/>
              <w:rPr>
                <w:b/>
                <w:bCs/>
                <w:color w:val="auto"/>
                <w:sz w:val="28"/>
                <w:szCs w:val="28"/>
              </w:rPr>
            </w:pPr>
            <w:r>
              <w:rPr>
                <w:rFonts w:hint="eastAsia"/>
                <w:b/>
                <w:bCs/>
                <w:color w:val="auto"/>
                <w:sz w:val="28"/>
                <w:szCs w:val="28"/>
              </w:rPr>
              <w:t>1.4废气污染防治措施</w:t>
            </w:r>
          </w:p>
          <w:p>
            <w:pPr>
              <w:spacing w:line="520" w:lineRule="exact"/>
              <w:ind w:firstLine="560" w:firstLineChars="200"/>
              <w:rPr>
                <w:color w:val="auto"/>
                <w:sz w:val="28"/>
                <w:szCs w:val="28"/>
              </w:rPr>
            </w:pPr>
            <w:r>
              <w:rPr>
                <w:color w:val="auto"/>
                <w:sz w:val="28"/>
                <w:szCs w:val="28"/>
              </w:rPr>
              <w:t>项目运营期发泡、成型、熟化以及裁切工序均在密闭的车间内完成，由风机将有机废气引入</w:t>
            </w:r>
            <w:r>
              <w:rPr>
                <w:rFonts w:hint="eastAsia"/>
                <w:color w:val="auto"/>
                <w:sz w:val="28"/>
                <w:szCs w:val="28"/>
                <w:lang w:eastAsia="zh-CN"/>
              </w:rPr>
              <w:t>“</w:t>
            </w:r>
            <w:r>
              <w:rPr>
                <w:color w:val="auto"/>
                <w:sz w:val="28"/>
                <w:szCs w:val="28"/>
              </w:rPr>
              <w:t>光氧</w:t>
            </w:r>
            <w:r>
              <w:rPr>
                <w:rFonts w:hint="eastAsia"/>
                <w:color w:val="auto"/>
                <w:sz w:val="28"/>
                <w:szCs w:val="28"/>
              </w:rPr>
              <w:t>催化</w:t>
            </w:r>
            <w:r>
              <w:rPr>
                <w:color w:val="auto"/>
                <w:sz w:val="28"/>
                <w:szCs w:val="28"/>
              </w:rPr>
              <w:t>+活性炭吸附</w:t>
            </w:r>
            <w:r>
              <w:rPr>
                <w:rFonts w:hint="eastAsia"/>
                <w:color w:val="auto"/>
                <w:sz w:val="28"/>
                <w:szCs w:val="28"/>
                <w:lang w:eastAsia="zh-CN"/>
              </w:rPr>
              <w:t>”</w:t>
            </w:r>
            <w:r>
              <w:rPr>
                <w:color w:val="auto"/>
                <w:sz w:val="28"/>
                <w:szCs w:val="28"/>
              </w:rPr>
              <w:t>废气处理设施。光氧</w:t>
            </w:r>
            <w:r>
              <w:rPr>
                <w:rFonts w:hint="eastAsia"/>
                <w:color w:val="auto"/>
                <w:sz w:val="28"/>
                <w:szCs w:val="28"/>
              </w:rPr>
              <w:t>催化</w:t>
            </w:r>
            <w:r>
              <w:rPr>
                <w:color w:val="auto"/>
                <w:sz w:val="28"/>
                <w:szCs w:val="28"/>
              </w:rPr>
              <w:t>+活性炭吸附塔对有机废气的去除效率为</w:t>
            </w:r>
            <w:r>
              <w:rPr>
                <w:rFonts w:hint="eastAsia"/>
                <w:color w:val="auto"/>
                <w:sz w:val="28"/>
                <w:szCs w:val="28"/>
              </w:rPr>
              <w:t>24</w:t>
            </w:r>
            <w:r>
              <w:rPr>
                <w:color w:val="auto"/>
                <w:sz w:val="28"/>
                <w:szCs w:val="28"/>
              </w:rPr>
              <w:t>%</w:t>
            </w:r>
            <w:r>
              <w:rPr>
                <w:rFonts w:hint="eastAsia"/>
                <w:color w:val="auto"/>
                <w:sz w:val="28"/>
                <w:szCs w:val="28"/>
              </w:rPr>
              <w:t>，</w:t>
            </w:r>
            <w:r>
              <w:rPr>
                <w:color w:val="auto"/>
                <w:sz w:val="28"/>
                <w:szCs w:val="28"/>
              </w:rPr>
              <w:t>处理后的废气经15</w:t>
            </w:r>
            <w:r>
              <w:rPr>
                <w:rFonts w:hint="eastAsia"/>
                <w:color w:val="auto"/>
                <w:sz w:val="28"/>
                <w:szCs w:val="28"/>
                <w:lang w:val="en-US" w:eastAsia="zh-CN"/>
              </w:rPr>
              <w:t>m</w:t>
            </w:r>
            <w:r>
              <w:rPr>
                <w:color w:val="auto"/>
                <w:sz w:val="28"/>
                <w:szCs w:val="28"/>
              </w:rPr>
              <w:t>高排气筒</w:t>
            </w:r>
            <w:r>
              <w:rPr>
                <w:rFonts w:hint="eastAsia"/>
                <w:color w:val="auto"/>
                <w:sz w:val="28"/>
                <w:szCs w:val="28"/>
              </w:rPr>
              <w:t>（DA001）</w:t>
            </w:r>
            <w:r>
              <w:rPr>
                <w:color w:val="auto"/>
                <w:sz w:val="28"/>
                <w:szCs w:val="28"/>
              </w:rPr>
              <w:t>排放。所用措施属于《排污许可证申请与核发技术规范橡胶和塑料制品</w:t>
            </w:r>
            <w:r>
              <w:rPr>
                <w:rFonts w:hint="eastAsia"/>
                <w:color w:val="auto"/>
                <w:sz w:val="28"/>
                <w:szCs w:val="28"/>
              </w:rPr>
              <w:t>》（HJ1</w:t>
            </w:r>
            <w:r>
              <w:rPr>
                <w:color w:val="auto"/>
                <w:sz w:val="28"/>
                <w:szCs w:val="28"/>
              </w:rPr>
              <w:t>122-2020</w:t>
            </w:r>
            <w:r>
              <w:rPr>
                <w:rFonts w:hint="eastAsia"/>
                <w:color w:val="auto"/>
                <w:sz w:val="28"/>
                <w:szCs w:val="28"/>
              </w:rPr>
              <w:t>）</w:t>
            </w:r>
            <w:r>
              <w:rPr>
                <w:color w:val="auto"/>
                <w:sz w:val="28"/>
                <w:szCs w:val="28"/>
              </w:rPr>
              <w:t>中的</w:t>
            </w:r>
            <w:r>
              <w:rPr>
                <w:rFonts w:hint="eastAsia"/>
                <w:color w:val="auto"/>
                <w:sz w:val="28"/>
                <w:szCs w:val="28"/>
                <w:lang w:eastAsia="zh-CN"/>
              </w:rPr>
              <w:t>“</w:t>
            </w:r>
            <w:r>
              <w:rPr>
                <w:color w:val="auto"/>
                <w:sz w:val="28"/>
                <w:szCs w:val="28"/>
              </w:rPr>
              <w:t>可行技术</w:t>
            </w:r>
            <w:r>
              <w:rPr>
                <w:rFonts w:hint="eastAsia"/>
                <w:color w:val="auto"/>
                <w:sz w:val="28"/>
                <w:szCs w:val="28"/>
                <w:lang w:eastAsia="zh-CN"/>
              </w:rPr>
              <w:t>”</w:t>
            </w:r>
            <w:r>
              <w:rPr>
                <w:rFonts w:hint="eastAsia"/>
                <w:color w:val="auto"/>
                <w:sz w:val="28"/>
                <w:szCs w:val="28"/>
              </w:rPr>
              <w:t>。</w:t>
            </w:r>
          </w:p>
          <w:p>
            <w:pPr>
              <w:spacing w:line="520" w:lineRule="exact"/>
              <w:ind w:firstLine="560" w:firstLineChars="200"/>
              <w:rPr>
                <w:color w:val="auto"/>
                <w:sz w:val="28"/>
                <w:szCs w:val="28"/>
              </w:rPr>
            </w:pPr>
            <w:r>
              <w:rPr>
                <w:rFonts w:hint="eastAsia"/>
                <w:color w:val="auto"/>
                <w:sz w:val="28"/>
                <w:szCs w:val="28"/>
              </w:rPr>
              <w:t>锅炉产生的烟尘通过排风管引至布袋除尘器，锅炉废气采用旋风除尘+袋式除尘技术进行处理，处理后的废气经</w:t>
            </w:r>
            <w:r>
              <w:rPr>
                <w:rFonts w:hint="eastAsia"/>
                <w:color w:val="auto"/>
                <w:sz w:val="28"/>
                <w:szCs w:val="28"/>
                <w:lang w:eastAsia="zh-CN"/>
              </w:rPr>
              <w:t>由</w:t>
            </w:r>
            <w:r>
              <w:rPr>
                <w:rFonts w:hint="eastAsia"/>
                <w:color w:val="auto"/>
                <w:sz w:val="28"/>
                <w:szCs w:val="28"/>
                <w:lang w:val="en-US" w:eastAsia="zh-CN"/>
              </w:rPr>
              <w:t>15m</w:t>
            </w:r>
            <w:r>
              <w:rPr>
                <w:rFonts w:hint="eastAsia"/>
                <w:color w:val="auto"/>
                <w:sz w:val="28"/>
                <w:szCs w:val="28"/>
              </w:rPr>
              <w:t>排气筒（DA002）排放，</w:t>
            </w:r>
            <w:r>
              <w:rPr>
                <w:color w:val="auto"/>
                <w:sz w:val="28"/>
                <w:szCs w:val="28"/>
              </w:rPr>
              <w:t>所用措施属于《排污许可证申请与核发技术规范锅炉》</w:t>
            </w:r>
            <w:r>
              <w:rPr>
                <w:rFonts w:hint="eastAsia"/>
                <w:color w:val="auto"/>
                <w:sz w:val="28"/>
                <w:szCs w:val="28"/>
              </w:rPr>
              <w:t>（</w:t>
            </w:r>
            <w:r>
              <w:rPr>
                <w:color w:val="auto"/>
                <w:sz w:val="28"/>
                <w:szCs w:val="28"/>
              </w:rPr>
              <w:t>HJ953-2018</w:t>
            </w:r>
            <w:r>
              <w:rPr>
                <w:rFonts w:hint="eastAsia"/>
                <w:color w:val="auto"/>
                <w:sz w:val="28"/>
                <w:szCs w:val="28"/>
              </w:rPr>
              <w:t>）</w:t>
            </w:r>
            <w:r>
              <w:rPr>
                <w:color w:val="auto"/>
                <w:sz w:val="28"/>
                <w:szCs w:val="28"/>
              </w:rPr>
              <w:t>中的</w:t>
            </w:r>
            <w:r>
              <w:rPr>
                <w:rFonts w:hint="eastAsia"/>
                <w:color w:val="auto"/>
                <w:sz w:val="28"/>
                <w:szCs w:val="28"/>
                <w:lang w:eastAsia="zh-CN"/>
              </w:rPr>
              <w:t>“</w:t>
            </w:r>
            <w:r>
              <w:rPr>
                <w:color w:val="auto"/>
                <w:sz w:val="28"/>
                <w:szCs w:val="28"/>
              </w:rPr>
              <w:t>可行技术</w:t>
            </w:r>
            <w:r>
              <w:rPr>
                <w:rFonts w:hint="eastAsia"/>
                <w:color w:val="auto"/>
                <w:sz w:val="28"/>
                <w:szCs w:val="28"/>
                <w:lang w:eastAsia="zh-CN"/>
              </w:rPr>
              <w:t>”</w:t>
            </w:r>
            <w:r>
              <w:rPr>
                <w:rFonts w:hint="eastAsia"/>
                <w:color w:val="auto"/>
                <w:sz w:val="28"/>
                <w:szCs w:val="28"/>
              </w:rPr>
              <w:t>。</w:t>
            </w:r>
          </w:p>
          <w:p>
            <w:pPr>
              <w:spacing w:line="500" w:lineRule="exact"/>
              <w:rPr>
                <w:b/>
                <w:bCs/>
                <w:color w:val="auto"/>
                <w:sz w:val="28"/>
                <w:szCs w:val="28"/>
              </w:rPr>
            </w:pPr>
            <w:r>
              <w:rPr>
                <w:rFonts w:hint="eastAsia"/>
                <w:b/>
                <w:bCs/>
                <w:color w:val="auto"/>
                <w:sz w:val="28"/>
                <w:szCs w:val="28"/>
              </w:rPr>
              <w:t>1.5废气监测</w:t>
            </w:r>
          </w:p>
          <w:p>
            <w:pPr>
              <w:spacing w:line="520" w:lineRule="exact"/>
              <w:ind w:firstLine="560" w:firstLineChars="200"/>
              <w:rPr>
                <w:color w:val="auto"/>
                <w:sz w:val="28"/>
                <w:szCs w:val="28"/>
              </w:rPr>
            </w:pPr>
            <w:r>
              <w:rPr>
                <w:rFonts w:hint="eastAsia"/>
                <w:color w:val="auto"/>
                <w:sz w:val="28"/>
                <w:szCs w:val="28"/>
              </w:rPr>
              <w:t>（1）工艺废气监测</w:t>
            </w:r>
          </w:p>
          <w:p>
            <w:pPr>
              <w:spacing w:line="520" w:lineRule="exact"/>
              <w:ind w:firstLine="560" w:firstLineChars="200"/>
              <w:rPr>
                <w:color w:val="auto"/>
                <w:sz w:val="28"/>
                <w:szCs w:val="28"/>
              </w:rPr>
            </w:pPr>
            <w:r>
              <w:rPr>
                <w:color w:val="auto"/>
                <w:sz w:val="28"/>
                <w:szCs w:val="28"/>
              </w:rPr>
              <w:t xml:space="preserve">根据项目废气产生情况，结合《排污许可证申请与核发技术规范 </w:t>
            </w:r>
            <w:r>
              <w:rPr>
                <w:rFonts w:hint="eastAsia"/>
                <w:color w:val="auto"/>
                <w:sz w:val="28"/>
                <w:szCs w:val="28"/>
              </w:rPr>
              <w:t>橡胶和塑料制品</w:t>
            </w:r>
            <w:r>
              <w:rPr>
                <w:color w:val="auto"/>
                <w:sz w:val="28"/>
                <w:szCs w:val="28"/>
              </w:rPr>
              <w:t xml:space="preserve">》（HJ </w:t>
            </w:r>
            <w:r>
              <w:rPr>
                <w:rFonts w:hint="eastAsia"/>
                <w:color w:val="auto"/>
                <w:sz w:val="28"/>
                <w:szCs w:val="28"/>
              </w:rPr>
              <w:t>1122</w:t>
            </w:r>
            <w:r>
              <w:rPr>
                <w:color w:val="auto"/>
                <w:sz w:val="28"/>
                <w:szCs w:val="28"/>
              </w:rPr>
              <w:t>—20</w:t>
            </w:r>
            <w:r>
              <w:rPr>
                <w:rFonts w:hint="eastAsia"/>
                <w:color w:val="auto"/>
                <w:sz w:val="28"/>
                <w:szCs w:val="28"/>
              </w:rPr>
              <w:t>20</w:t>
            </w:r>
            <w:r>
              <w:rPr>
                <w:color w:val="auto"/>
                <w:sz w:val="28"/>
                <w:szCs w:val="28"/>
              </w:rPr>
              <w:t>），确定废气监测计划，详见下表。</w:t>
            </w:r>
          </w:p>
          <w:p>
            <w:pPr>
              <w:ind w:firstLine="480" w:firstLineChars="200"/>
              <w:rPr>
                <w:color w:val="auto"/>
                <w:sz w:val="24"/>
                <w:szCs w:val="28"/>
              </w:rPr>
            </w:pPr>
            <w:r>
              <w:rPr>
                <w:rFonts w:eastAsia="黑体"/>
                <w:color w:val="auto"/>
                <w:sz w:val="24"/>
                <w:szCs w:val="28"/>
              </w:rPr>
              <w:t>表</w:t>
            </w:r>
            <w:r>
              <w:rPr>
                <w:rFonts w:hint="eastAsia" w:eastAsia="黑体"/>
                <w:bCs/>
                <w:color w:val="auto"/>
                <w:sz w:val="24"/>
                <w:szCs w:val="28"/>
              </w:rPr>
              <w:t>20</w:t>
            </w:r>
            <w:r>
              <w:rPr>
                <w:rFonts w:eastAsia="黑体"/>
                <w:bCs/>
                <w:color w:val="auto"/>
                <w:sz w:val="24"/>
                <w:szCs w:val="28"/>
              </w:rPr>
              <w:t xml:space="preserve">                  废气</w:t>
            </w:r>
            <w:r>
              <w:rPr>
                <w:rFonts w:eastAsia="黑体"/>
                <w:color w:val="auto"/>
                <w:sz w:val="24"/>
                <w:szCs w:val="28"/>
              </w:rPr>
              <w:t>监测内容一览表</w:t>
            </w:r>
          </w:p>
          <w:tbl>
            <w:tblPr>
              <w:tblStyle w:val="18"/>
              <w:tblW w:w="7957"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2150"/>
              <w:gridCol w:w="2595"/>
              <w:gridCol w:w="20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64" w:hRule="exact"/>
                <w:jc w:val="center"/>
              </w:trPr>
              <w:tc>
                <w:tcPr>
                  <w:tcW w:w="716" w:type="pct"/>
                  <w:vAlign w:val="center"/>
                </w:tcPr>
                <w:p>
                  <w:pPr>
                    <w:jc w:val="center"/>
                    <w:rPr>
                      <w:color w:val="auto"/>
                      <w:szCs w:val="21"/>
                    </w:rPr>
                  </w:pPr>
                  <w:r>
                    <w:rPr>
                      <w:color w:val="auto"/>
                      <w:szCs w:val="21"/>
                    </w:rPr>
                    <w:t>排放方式</w:t>
                  </w:r>
                </w:p>
              </w:tc>
              <w:tc>
                <w:tcPr>
                  <w:tcW w:w="1351" w:type="pct"/>
                  <w:vAlign w:val="center"/>
                </w:tcPr>
                <w:p>
                  <w:pPr>
                    <w:jc w:val="center"/>
                    <w:rPr>
                      <w:color w:val="auto"/>
                      <w:szCs w:val="21"/>
                    </w:rPr>
                  </w:pPr>
                  <w:r>
                    <w:rPr>
                      <w:color w:val="auto"/>
                      <w:szCs w:val="21"/>
                    </w:rPr>
                    <w:t>监测点位</w:t>
                  </w:r>
                </w:p>
              </w:tc>
              <w:tc>
                <w:tcPr>
                  <w:tcW w:w="1630" w:type="pct"/>
                  <w:vAlign w:val="center"/>
                </w:tcPr>
                <w:p>
                  <w:pPr>
                    <w:jc w:val="center"/>
                    <w:rPr>
                      <w:color w:val="auto"/>
                      <w:szCs w:val="21"/>
                    </w:rPr>
                  </w:pPr>
                  <w:r>
                    <w:rPr>
                      <w:color w:val="auto"/>
                      <w:szCs w:val="21"/>
                    </w:rPr>
                    <w:t>监测指标</w:t>
                  </w:r>
                </w:p>
              </w:tc>
              <w:tc>
                <w:tcPr>
                  <w:tcW w:w="1301" w:type="pct"/>
                  <w:vAlign w:val="center"/>
                </w:tcPr>
                <w:p>
                  <w:pPr>
                    <w:jc w:val="center"/>
                    <w:rPr>
                      <w:color w:val="auto"/>
                      <w:szCs w:val="21"/>
                    </w:rPr>
                  </w:pPr>
                  <w:r>
                    <w:rPr>
                      <w:color w:val="auto"/>
                      <w:szCs w:val="21"/>
                    </w:rPr>
                    <w:t>监测频次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16" w:type="pct"/>
                  <w:vAlign w:val="center"/>
                </w:tcPr>
                <w:p>
                  <w:pPr>
                    <w:adjustRightInd w:val="0"/>
                    <w:jc w:val="center"/>
                    <w:textAlignment w:val="baseline"/>
                    <w:rPr>
                      <w:color w:val="auto"/>
                    </w:rPr>
                  </w:pPr>
                  <w:r>
                    <w:rPr>
                      <w:rFonts w:hint="eastAsia"/>
                      <w:color w:val="auto"/>
                    </w:rPr>
                    <w:t>有组织</w:t>
                  </w:r>
                </w:p>
              </w:tc>
              <w:tc>
                <w:tcPr>
                  <w:tcW w:w="1351" w:type="pct"/>
                  <w:vAlign w:val="center"/>
                </w:tcPr>
                <w:p>
                  <w:pPr>
                    <w:adjustRightInd w:val="0"/>
                    <w:jc w:val="center"/>
                    <w:textAlignment w:val="baseline"/>
                    <w:rPr>
                      <w:color w:val="auto"/>
                    </w:rPr>
                  </w:pPr>
                  <w:r>
                    <w:rPr>
                      <w:rFonts w:hint="eastAsia"/>
                      <w:color w:val="auto"/>
                    </w:rPr>
                    <w:t>排气筒（DA001）</w:t>
                  </w:r>
                </w:p>
              </w:tc>
              <w:tc>
                <w:tcPr>
                  <w:tcW w:w="1630" w:type="pct"/>
                  <w:vAlign w:val="center"/>
                </w:tcPr>
                <w:p>
                  <w:pPr>
                    <w:adjustRightInd w:val="0"/>
                    <w:jc w:val="center"/>
                    <w:textAlignment w:val="baseline"/>
                    <w:rPr>
                      <w:color w:val="auto"/>
                      <w:kern w:val="0"/>
                      <w:szCs w:val="21"/>
                    </w:rPr>
                  </w:pPr>
                  <w:r>
                    <w:rPr>
                      <w:rFonts w:hint="eastAsia"/>
                      <w:color w:val="auto"/>
                      <w:kern w:val="0"/>
                      <w:szCs w:val="21"/>
                    </w:rPr>
                    <w:t>非甲烷总烃</w:t>
                  </w:r>
                </w:p>
              </w:tc>
              <w:tc>
                <w:tcPr>
                  <w:tcW w:w="1301" w:type="pct"/>
                  <w:vAlign w:val="center"/>
                </w:tcPr>
                <w:p>
                  <w:pPr>
                    <w:adjustRightInd w:val="0"/>
                    <w:jc w:val="center"/>
                    <w:textAlignment w:val="baseline"/>
                    <w:rPr>
                      <w:color w:val="auto"/>
                      <w:kern w:val="0"/>
                      <w:szCs w:val="21"/>
                    </w:rPr>
                  </w:pPr>
                  <w:r>
                    <w:rPr>
                      <w:rFonts w:hint="eastAsia"/>
                      <w:color w:val="auto"/>
                      <w:szCs w:val="21"/>
                      <w:lang w:val="en-US" w:eastAsia="zh-CN"/>
                    </w:rPr>
                    <w:t>1次/半</w:t>
                  </w:r>
                  <w:r>
                    <w:rPr>
                      <w:rFonts w:hint="eastAsia"/>
                      <w:color w:val="auto"/>
                      <w:szCs w:val="21"/>
                    </w:rPr>
                    <w:t>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716" w:type="pct"/>
                  <w:vMerge w:val="restart"/>
                  <w:vAlign w:val="center"/>
                </w:tcPr>
                <w:p>
                  <w:pPr>
                    <w:jc w:val="center"/>
                    <w:rPr>
                      <w:color w:val="auto"/>
                      <w:szCs w:val="21"/>
                    </w:rPr>
                  </w:pPr>
                  <w:r>
                    <w:rPr>
                      <w:rFonts w:hint="eastAsia"/>
                      <w:color w:val="auto"/>
                      <w:szCs w:val="21"/>
                    </w:rPr>
                    <w:t>无</w:t>
                  </w:r>
                  <w:r>
                    <w:rPr>
                      <w:color w:val="auto"/>
                      <w:szCs w:val="21"/>
                    </w:rPr>
                    <w:t>组织</w:t>
                  </w:r>
                </w:p>
              </w:tc>
              <w:tc>
                <w:tcPr>
                  <w:tcW w:w="1351" w:type="pct"/>
                  <w:vAlign w:val="center"/>
                </w:tcPr>
                <w:p>
                  <w:pPr>
                    <w:adjustRightInd w:val="0"/>
                    <w:jc w:val="center"/>
                    <w:textAlignment w:val="baseline"/>
                    <w:rPr>
                      <w:rFonts w:hint="eastAsia" w:eastAsia="宋体"/>
                      <w:color w:val="auto"/>
                      <w:lang w:eastAsia="zh-CN"/>
                    </w:rPr>
                  </w:pPr>
                  <w:r>
                    <w:rPr>
                      <w:rFonts w:hint="eastAsia"/>
                      <w:color w:val="auto"/>
                      <w:lang w:eastAsia="zh-CN"/>
                    </w:rPr>
                    <w:t>厂内</w:t>
                  </w:r>
                </w:p>
              </w:tc>
              <w:tc>
                <w:tcPr>
                  <w:tcW w:w="1630" w:type="pct"/>
                  <w:vAlign w:val="center"/>
                </w:tcPr>
                <w:p>
                  <w:pPr>
                    <w:adjustRightInd w:val="0"/>
                    <w:jc w:val="center"/>
                    <w:textAlignment w:val="baseline"/>
                    <w:rPr>
                      <w:rFonts w:hint="eastAsia"/>
                      <w:color w:val="auto"/>
                      <w:kern w:val="0"/>
                      <w:szCs w:val="21"/>
                    </w:rPr>
                  </w:pPr>
                  <w:r>
                    <w:rPr>
                      <w:rFonts w:hint="eastAsia"/>
                      <w:color w:val="auto"/>
                      <w:kern w:val="0"/>
                      <w:szCs w:val="21"/>
                    </w:rPr>
                    <w:t>非甲烷总烃</w:t>
                  </w:r>
                </w:p>
              </w:tc>
              <w:tc>
                <w:tcPr>
                  <w:tcW w:w="1301" w:type="pct"/>
                  <w:vAlign w:val="center"/>
                </w:tcPr>
                <w:p>
                  <w:pPr>
                    <w:adjustRightInd w:val="0"/>
                    <w:jc w:val="center"/>
                    <w:textAlignment w:val="baseline"/>
                    <w:rPr>
                      <w:rFonts w:hint="eastAsia"/>
                      <w:color w:val="auto"/>
                      <w:szCs w:val="21"/>
                    </w:rPr>
                  </w:pPr>
                  <w:r>
                    <w:rPr>
                      <w:rFonts w:hint="eastAsia"/>
                      <w:color w:val="auto"/>
                      <w:szCs w:val="21"/>
                      <w:lang w:val="en-US" w:eastAsia="zh-CN"/>
                    </w:rPr>
                    <w:t>1次/半</w:t>
                  </w:r>
                  <w:r>
                    <w:rPr>
                      <w:rFonts w:hint="eastAsia"/>
                      <w:color w:val="auto"/>
                      <w:szCs w:val="21"/>
                    </w:rPr>
                    <w:t>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63" w:hRule="exact"/>
                <w:jc w:val="center"/>
              </w:trPr>
              <w:tc>
                <w:tcPr>
                  <w:tcW w:w="716" w:type="pct"/>
                  <w:vMerge w:val="continue"/>
                  <w:vAlign w:val="center"/>
                </w:tcPr>
                <w:p>
                  <w:pPr>
                    <w:jc w:val="center"/>
                    <w:rPr>
                      <w:color w:val="auto"/>
                      <w:szCs w:val="21"/>
                    </w:rPr>
                  </w:pPr>
                </w:p>
              </w:tc>
              <w:tc>
                <w:tcPr>
                  <w:tcW w:w="1351" w:type="pct"/>
                  <w:vAlign w:val="center"/>
                </w:tcPr>
                <w:p>
                  <w:pPr>
                    <w:jc w:val="center"/>
                    <w:rPr>
                      <w:color w:val="auto"/>
                      <w:szCs w:val="21"/>
                    </w:rPr>
                  </w:pPr>
                  <w:r>
                    <w:rPr>
                      <w:rFonts w:hint="eastAsia"/>
                      <w:color w:val="auto"/>
                      <w:szCs w:val="21"/>
                    </w:rPr>
                    <w:t>厂界</w:t>
                  </w:r>
                </w:p>
              </w:tc>
              <w:tc>
                <w:tcPr>
                  <w:tcW w:w="1630" w:type="pct"/>
                  <w:vAlign w:val="center"/>
                </w:tcPr>
                <w:p>
                  <w:pPr>
                    <w:adjustRightInd w:val="0"/>
                    <w:jc w:val="center"/>
                    <w:textAlignment w:val="baseline"/>
                    <w:rPr>
                      <w:color w:val="auto"/>
                      <w:kern w:val="0"/>
                      <w:szCs w:val="21"/>
                    </w:rPr>
                  </w:pPr>
                  <w:r>
                    <w:rPr>
                      <w:rFonts w:hint="eastAsia"/>
                      <w:color w:val="auto"/>
                      <w:kern w:val="0"/>
                      <w:szCs w:val="21"/>
                    </w:rPr>
                    <w:t>非甲烷总烃</w:t>
                  </w:r>
                </w:p>
              </w:tc>
              <w:tc>
                <w:tcPr>
                  <w:tcW w:w="1301" w:type="pct"/>
                  <w:vAlign w:val="center"/>
                </w:tcPr>
                <w:p>
                  <w:pPr>
                    <w:adjustRightInd w:val="0"/>
                    <w:jc w:val="center"/>
                    <w:textAlignment w:val="baseline"/>
                    <w:rPr>
                      <w:color w:val="auto"/>
                      <w:szCs w:val="21"/>
                    </w:rPr>
                  </w:pPr>
                  <w:r>
                    <w:rPr>
                      <w:rFonts w:hint="eastAsia"/>
                      <w:color w:val="auto"/>
                      <w:szCs w:val="21"/>
                      <w:lang w:val="en-US" w:eastAsia="zh-CN"/>
                    </w:rPr>
                    <w:t>1次/半</w:t>
                  </w:r>
                  <w:r>
                    <w:rPr>
                      <w:rFonts w:hint="eastAsia"/>
                      <w:color w:val="auto"/>
                      <w:szCs w:val="21"/>
                    </w:rPr>
                    <w:t>年</w:t>
                  </w:r>
                </w:p>
              </w:tc>
            </w:tr>
          </w:tbl>
          <w:p>
            <w:pPr>
              <w:spacing w:line="520" w:lineRule="exact"/>
              <w:ind w:firstLine="560" w:firstLineChars="200"/>
              <w:rPr>
                <w:color w:val="auto"/>
                <w:sz w:val="28"/>
                <w:szCs w:val="28"/>
              </w:rPr>
            </w:pPr>
            <w:r>
              <w:rPr>
                <w:rFonts w:hint="eastAsia"/>
                <w:color w:val="auto"/>
                <w:sz w:val="28"/>
                <w:szCs w:val="28"/>
              </w:rPr>
              <w:t>（2）锅炉废气监测</w:t>
            </w:r>
          </w:p>
          <w:p>
            <w:pPr>
              <w:spacing w:line="520" w:lineRule="exact"/>
              <w:ind w:firstLine="560" w:firstLineChars="200"/>
              <w:rPr>
                <w:color w:val="auto"/>
                <w:sz w:val="28"/>
                <w:szCs w:val="28"/>
              </w:rPr>
            </w:pPr>
            <w:r>
              <w:rPr>
                <w:color w:val="auto"/>
                <w:sz w:val="28"/>
                <w:szCs w:val="28"/>
              </w:rPr>
              <w:t xml:space="preserve">根据项目废气产生情况，结合《排污许可证申请与核发技术规范 </w:t>
            </w:r>
            <w:r>
              <w:rPr>
                <w:rFonts w:hint="eastAsia"/>
                <w:color w:val="auto"/>
                <w:sz w:val="28"/>
                <w:szCs w:val="28"/>
              </w:rPr>
              <w:t>锅炉</w:t>
            </w:r>
            <w:r>
              <w:rPr>
                <w:color w:val="auto"/>
                <w:sz w:val="28"/>
                <w:szCs w:val="28"/>
              </w:rPr>
              <w:t xml:space="preserve">》（HJ </w:t>
            </w:r>
            <w:r>
              <w:rPr>
                <w:rFonts w:hint="eastAsia"/>
                <w:color w:val="auto"/>
                <w:sz w:val="28"/>
                <w:szCs w:val="28"/>
              </w:rPr>
              <w:t>953</w:t>
            </w:r>
            <w:r>
              <w:rPr>
                <w:color w:val="auto"/>
                <w:sz w:val="28"/>
                <w:szCs w:val="28"/>
              </w:rPr>
              <w:t>—20</w:t>
            </w:r>
            <w:r>
              <w:rPr>
                <w:rFonts w:hint="eastAsia"/>
                <w:color w:val="auto"/>
                <w:sz w:val="28"/>
                <w:szCs w:val="28"/>
              </w:rPr>
              <w:t>18</w:t>
            </w:r>
            <w:r>
              <w:rPr>
                <w:color w:val="auto"/>
                <w:sz w:val="28"/>
                <w:szCs w:val="28"/>
              </w:rPr>
              <w:t>）</w:t>
            </w:r>
            <w:r>
              <w:rPr>
                <w:rFonts w:hint="eastAsia"/>
                <w:color w:val="auto"/>
                <w:sz w:val="28"/>
                <w:szCs w:val="28"/>
              </w:rPr>
              <w:t>，按照《排污单位自行监测指南 火力发电及锅炉》（HJ820—2017）</w:t>
            </w:r>
            <w:r>
              <w:rPr>
                <w:color w:val="auto"/>
                <w:sz w:val="28"/>
                <w:szCs w:val="28"/>
              </w:rPr>
              <w:t>，</w:t>
            </w:r>
            <w:r>
              <w:rPr>
                <w:rFonts w:hint="eastAsia"/>
                <w:color w:val="auto"/>
                <w:sz w:val="28"/>
                <w:szCs w:val="28"/>
                <w:lang w:eastAsia="zh-CN"/>
              </w:rPr>
              <w:t>参照燃气锅炉</w:t>
            </w:r>
            <w:r>
              <w:rPr>
                <w:color w:val="auto"/>
                <w:sz w:val="28"/>
                <w:szCs w:val="28"/>
              </w:rPr>
              <w:t>确定废气监测计划，详见下表。</w:t>
            </w:r>
          </w:p>
          <w:p>
            <w:pPr>
              <w:ind w:firstLine="480" w:firstLineChars="200"/>
              <w:rPr>
                <w:color w:val="auto"/>
                <w:sz w:val="24"/>
                <w:szCs w:val="28"/>
              </w:rPr>
            </w:pPr>
            <w:r>
              <w:rPr>
                <w:rFonts w:eastAsia="黑体"/>
                <w:color w:val="auto"/>
                <w:sz w:val="24"/>
                <w:szCs w:val="28"/>
              </w:rPr>
              <w:t>表</w:t>
            </w:r>
            <w:r>
              <w:rPr>
                <w:rFonts w:hint="eastAsia" w:eastAsia="黑体"/>
                <w:bCs/>
                <w:color w:val="auto"/>
                <w:sz w:val="24"/>
                <w:szCs w:val="28"/>
              </w:rPr>
              <w:t>21</w:t>
            </w:r>
            <w:r>
              <w:rPr>
                <w:rFonts w:eastAsia="黑体"/>
                <w:bCs/>
                <w:color w:val="auto"/>
                <w:sz w:val="24"/>
                <w:szCs w:val="28"/>
              </w:rPr>
              <w:t xml:space="preserve">                  废气</w:t>
            </w:r>
            <w:r>
              <w:rPr>
                <w:rFonts w:eastAsia="黑体"/>
                <w:color w:val="auto"/>
                <w:sz w:val="24"/>
                <w:szCs w:val="28"/>
              </w:rPr>
              <w:t>监测内容一览表</w:t>
            </w:r>
          </w:p>
          <w:tbl>
            <w:tblPr>
              <w:tblStyle w:val="18"/>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2141"/>
              <w:gridCol w:w="3519"/>
              <w:gridCol w:w="112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63" w:hRule="exact"/>
                <w:jc w:val="center"/>
              </w:trPr>
              <w:tc>
                <w:tcPr>
                  <w:tcW w:w="716" w:type="pct"/>
                  <w:vAlign w:val="center"/>
                </w:tcPr>
                <w:p>
                  <w:pPr>
                    <w:jc w:val="center"/>
                    <w:rPr>
                      <w:color w:val="auto"/>
                      <w:szCs w:val="21"/>
                    </w:rPr>
                  </w:pPr>
                  <w:r>
                    <w:rPr>
                      <w:color w:val="auto"/>
                      <w:szCs w:val="21"/>
                    </w:rPr>
                    <w:t>排放方式</w:t>
                  </w:r>
                </w:p>
              </w:tc>
              <w:tc>
                <w:tcPr>
                  <w:tcW w:w="1350" w:type="pct"/>
                  <w:vAlign w:val="center"/>
                </w:tcPr>
                <w:p>
                  <w:pPr>
                    <w:jc w:val="center"/>
                    <w:rPr>
                      <w:color w:val="auto"/>
                      <w:szCs w:val="21"/>
                    </w:rPr>
                  </w:pPr>
                  <w:r>
                    <w:rPr>
                      <w:color w:val="auto"/>
                      <w:szCs w:val="21"/>
                    </w:rPr>
                    <w:t>监测点位</w:t>
                  </w:r>
                </w:p>
              </w:tc>
              <w:tc>
                <w:tcPr>
                  <w:tcW w:w="2219" w:type="pct"/>
                  <w:vAlign w:val="center"/>
                </w:tcPr>
                <w:p>
                  <w:pPr>
                    <w:jc w:val="center"/>
                    <w:rPr>
                      <w:color w:val="auto"/>
                      <w:szCs w:val="21"/>
                    </w:rPr>
                  </w:pPr>
                  <w:r>
                    <w:rPr>
                      <w:color w:val="auto"/>
                      <w:szCs w:val="21"/>
                    </w:rPr>
                    <w:t>监测指标</w:t>
                  </w:r>
                </w:p>
              </w:tc>
              <w:tc>
                <w:tcPr>
                  <w:tcW w:w="712" w:type="pct"/>
                  <w:vAlign w:val="center"/>
                </w:tcPr>
                <w:p>
                  <w:pPr>
                    <w:jc w:val="center"/>
                    <w:rPr>
                      <w:color w:val="auto"/>
                      <w:szCs w:val="21"/>
                    </w:rPr>
                  </w:pPr>
                  <w:r>
                    <w:rPr>
                      <w:color w:val="auto"/>
                      <w:szCs w:val="21"/>
                    </w:rPr>
                    <w:t>监测频次</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64" w:hRule="atLeast"/>
                <w:jc w:val="center"/>
              </w:trPr>
              <w:tc>
                <w:tcPr>
                  <w:tcW w:w="716" w:type="pct"/>
                  <w:vMerge w:val="restart"/>
                  <w:vAlign w:val="center"/>
                </w:tcPr>
                <w:p>
                  <w:pPr>
                    <w:jc w:val="center"/>
                    <w:rPr>
                      <w:color w:val="auto"/>
                      <w:szCs w:val="21"/>
                    </w:rPr>
                  </w:pPr>
                  <w:r>
                    <w:rPr>
                      <w:rFonts w:hint="eastAsia"/>
                      <w:color w:val="auto"/>
                      <w:szCs w:val="21"/>
                    </w:rPr>
                    <w:t>有</w:t>
                  </w:r>
                  <w:r>
                    <w:rPr>
                      <w:color w:val="auto"/>
                      <w:szCs w:val="21"/>
                    </w:rPr>
                    <w:t>组织</w:t>
                  </w:r>
                </w:p>
              </w:tc>
              <w:tc>
                <w:tcPr>
                  <w:tcW w:w="1350" w:type="pct"/>
                  <w:vMerge w:val="restart"/>
                  <w:vAlign w:val="center"/>
                </w:tcPr>
                <w:p>
                  <w:pPr>
                    <w:jc w:val="center"/>
                    <w:rPr>
                      <w:color w:val="auto"/>
                      <w:szCs w:val="21"/>
                    </w:rPr>
                  </w:pPr>
                  <w:r>
                    <w:rPr>
                      <w:color w:val="auto"/>
                      <w:szCs w:val="21"/>
                    </w:rPr>
                    <w:t>排气筒DA00</w:t>
                  </w:r>
                  <w:r>
                    <w:rPr>
                      <w:rFonts w:hint="eastAsia"/>
                      <w:color w:val="auto"/>
                      <w:szCs w:val="21"/>
                    </w:rPr>
                    <w:t>2</w:t>
                  </w:r>
                </w:p>
              </w:tc>
              <w:tc>
                <w:tcPr>
                  <w:tcW w:w="2219" w:type="pct"/>
                  <w:vAlign w:val="center"/>
                </w:tcPr>
                <w:p>
                  <w:pPr>
                    <w:adjustRightInd w:val="0"/>
                    <w:jc w:val="center"/>
                    <w:textAlignment w:val="baseline"/>
                    <w:rPr>
                      <w:color w:val="auto"/>
                      <w:kern w:val="0"/>
                      <w:szCs w:val="21"/>
                    </w:rPr>
                  </w:pPr>
                  <w:r>
                    <w:rPr>
                      <w:rFonts w:hint="eastAsia"/>
                      <w:color w:val="auto"/>
                      <w:kern w:val="0"/>
                      <w:szCs w:val="21"/>
                    </w:rPr>
                    <w:t>氮氧化物</w:t>
                  </w:r>
                </w:p>
              </w:tc>
              <w:tc>
                <w:tcPr>
                  <w:tcW w:w="712" w:type="pct"/>
                  <w:vAlign w:val="center"/>
                </w:tcPr>
                <w:p>
                  <w:pPr>
                    <w:adjustRightInd w:val="0"/>
                    <w:jc w:val="center"/>
                    <w:textAlignment w:val="baseline"/>
                    <w:rPr>
                      <w:color w:val="auto"/>
                      <w:szCs w:val="21"/>
                    </w:rPr>
                  </w:pPr>
                  <w:r>
                    <w:rPr>
                      <w:rFonts w:hint="eastAsia"/>
                      <w:color w:val="auto"/>
                      <w:szCs w:val="21"/>
                    </w:rPr>
                    <w:t>月</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64" w:hRule="atLeast"/>
                <w:jc w:val="center"/>
              </w:trPr>
              <w:tc>
                <w:tcPr>
                  <w:tcW w:w="716" w:type="pct"/>
                  <w:vMerge w:val="continue"/>
                  <w:vAlign w:val="center"/>
                </w:tcPr>
                <w:p>
                  <w:pPr>
                    <w:adjustRightInd w:val="0"/>
                    <w:jc w:val="center"/>
                    <w:textAlignment w:val="baseline"/>
                    <w:rPr>
                      <w:color w:val="auto"/>
                    </w:rPr>
                  </w:pPr>
                </w:p>
              </w:tc>
              <w:tc>
                <w:tcPr>
                  <w:tcW w:w="1350" w:type="pct"/>
                  <w:vMerge w:val="continue"/>
                  <w:vAlign w:val="center"/>
                </w:tcPr>
                <w:p>
                  <w:pPr>
                    <w:adjustRightInd w:val="0"/>
                    <w:jc w:val="center"/>
                    <w:textAlignment w:val="baseline"/>
                    <w:rPr>
                      <w:color w:val="auto"/>
                    </w:rPr>
                  </w:pPr>
                </w:p>
              </w:tc>
              <w:tc>
                <w:tcPr>
                  <w:tcW w:w="2219" w:type="pct"/>
                  <w:vAlign w:val="center"/>
                </w:tcPr>
                <w:p>
                  <w:pPr>
                    <w:adjustRightInd w:val="0"/>
                    <w:jc w:val="center"/>
                    <w:textAlignment w:val="baseline"/>
                    <w:rPr>
                      <w:color w:val="auto"/>
                      <w:kern w:val="0"/>
                      <w:szCs w:val="21"/>
                    </w:rPr>
                  </w:pPr>
                  <w:r>
                    <w:rPr>
                      <w:rFonts w:hint="eastAsia"/>
                      <w:color w:val="auto"/>
                      <w:kern w:val="0"/>
                      <w:szCs w:val="21"/>
                    </w:rPr>
                    <w:t>颗粒物、二氧化硫、林格曼黑度</w:t>
                  </w:r>
                </w:p>
              </w:tc>
              <w:tc>
                <w:tcPr>
                  <w:tcW w:w="712" w:type="pct"/>
                  <w:vAlign w:val="center"/>
                </w:tcPr>
                <w:p>
                  <w:pPr>
                    <w:adjustRightInd w:val="0"/>
                    <w:jc w:val="center"/>
                    <w:textAlignment w:val="baseline"/>
                    <w:rPr>
                      <w:rFonts w:hint="eastAsia" w:eastAsia="宋体"/>
                      <w:color w:val="auto"/>
                      <w:kern w:val="0"/>
                      <w:szCs w:val="21"/>
                      <w:lang w:eastAsia="zh-CN"/>
                    </w:rPr>
                  </w:pPr>
                  <w:r>
                    <w:rPr>
                      <w:rFonts w:hint="eastAsia"/>
                      <w:color w:val="auto"/>
                      <w:szCs w:val="21"/>
                      <w:lang w:eastAsia="zh-CN"/>
                    </w:rPr>
                    <w:t>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70" w:hRule="exact"/>
                <w:jc w:val="center"/>
              </w:trPr>
              <w:tc>
                <w:tcPr>
                  <w:tcW w:w="716" w:type="pct"/>
                  <w:vAlign w:val="center"/>
                </w:tcPr>
                <w:p>
                  <w:pPr>
                    <w:jc w:val="center"/>
                    <w:rPr>
                      <w:color w:val="auto"/>
                      <w:szCs w:val="21"/>
                    </w:rPr>
                  </w:pPr>
                  <w:r>
                    <w:rPr>
                      <w:rFonts w:hint="eastAsia"/>
                      <w:color w:val="auto"/>
                      <w:szCs w:val="21"/>
                    </w:rPr>
                    <w:t>无</w:t>
                  </w:r>
                  <w:r>
                    <w:rPr>
                      <w:color w:val="auto"/>
                      <w:szCs w:val="21"/>
                    </w:rPr>
                    <w:t>组织</w:t>
                  </w:r>
                </w:p>
              </w:tc>
              <w:tc>
                <w:tcPr>
                  <w:tcW w:w="1350" w:type="pct"/>
                  <w:vAlign w:val="center"/>
                </w:tcPr>
                <w:p>
                  <w:pPr>
                    <w:jc w:val="center"/>
                    <w:rPr>
                      <w:color w:val="auto"/>
                      <w:szCs w:val="21"/>
                    </w:rPr>
                  </w:pPr>
                  <w:r>
                    <w:rPr>
                      <w:rFonts w:hint="eastAsia"/>
                      <w:color w:val="auto"/>
                      <w:szCs w:val="21"/>
                    </w:rPr>
                    <w:t>厂界</w:t>
                  </w:r>
                </w:p>
              </w:tc>
              <w:tc>
                <w:tcPr>
                  <w:tcW w:w="2219" w:type="pct"/>
                  <w:vAlign w:val="center"/>
                </w:tcPr>
                <w:p>
                  <w:pPr>
                    <w:adjustRightInd w:val="0"/>
                    <w:jc w:val="center"/>
                    <w:textAlignment w:val="baseline"/>
                    <w:rPr>
                      <w:color w:val="auto"/>
                      <w:kern w:val="0"/>
                      <w:szCs w:val="21"/>
                    </w:rPr>
                  </w:pPr>
                  <w:r>
                    <w:rPr>
                      <w:rFonts w:hint="eastAsia"/>
                      <w:color w:val="auto"/>
                      <w:kern w:val="0"/>
                      <w:szCs w:val="21"/>
                    </w:rPr>
                    <w:t>颗粒物</w:t>
                  </w:r>
                </w:p>
              </w:tc>
              <w:tc>
                <w:tcPr>
                  <w:tcW w:w="712" w:type="pct"/>
                  <w:vAlign w:val="center"/>
                </w:tcPr>
                <w:p>
                  <w:pPr>
                    <w:adjustRightInd w:val="0"/>
                    <w:jc w:val="center"/>
                    <w:textAlignment w:val="baseline"/>
                    <w:rPr>
                      <w:color w:val="auto"/>
                      <w:szCs w:val="21"/>
                    </w:rPr>
                  </w:pPr>
                  <w:r>
                    <w:rPr>
                      <w:rFonts w:hint="eastAsia"/>
                      <w:color w:val="auto"/>
                      <w:szCs w:val="21"/>
                    </w:rPr>
                    <w:t>季度</w:t>
                  </w:r>
                </w:p>
              </w:tc>
            </w:tr>
          </w:tbl>
          <w:p>
            <w:pPr>
              <w:spacing w:line="500" w:lineRule="exact"/>
              <w:rPr>
                <w:b/>
                <w:bCs/>
                <w:color w:val="auto"/>
                <w:sz w:val="28"/>
                <w:szCs w:val="28"/>
              </w:rPr>
            </w:pPr>
            <w:r>
              <w:rPr>
                <w:rFonts w:hint="eastAsia"/>
                <w:b/>
                <w:bCs/>
                <w:color w:val="auto"/>
                <w:sz w:val="28"/>
                <w:szCs w:val="28"/>
              </w:rPr>
              <w:t>2废水</w:t>
            </w:r>
          </w:p>
          <w:p>
            <w:pPr>
              <w:spacing w:line="500" w:lineRule="exact"/>
              <w:ind w:firstLine="560" w:firstLineChars="200"/>
              <w:rPr>
                <w:rFonts w:hint="eastAsia"/>
                <w:color w:val="auto"/>
                <w:sz w:val="28"/>
                <w:szCs w:val="28"/>
              </w:rPr>
            </w:pPr>
            <w:r>
              <w:rPr>
                <w:color w:val="auto"/>
                <w:sz w:val="28"/>
                <w:szCs w:val="28"/>
              </w:rPr>
              <w:t>本项目产生的废水为员工的生活废水</w:t>
            </w:r>
            <w:r>
              <w:rPr>
                <w:rFonts w:hint="eastAsia"/>
                <w:color w:val="auto"/>
                <w:sz w:val="28"/>
                <w:szCs w:val="28"/>
                <w:lang w:eastAsia="zh-CN"/>
              </w:rPr>
              <w:t>及餐饮废水</w:t>
            </w:r>
            <w:r>
              <w:rPr>
                <w:color w:val="auto"/>
                <w:sz w:val="28"/>
                <w:szCs w:val="28"/>
              </w:rPr>
              <w:t>，额定工作人数8人，</w:t>
            </w:r>
            <w:r>
              <w:rPr>
                <w:rFonts w:hint="eastAsia"/>
                <w:color w:val="auto"/>
                <w:sz w:val="28"/>
                <w:szCs w:val="28"/>
              </w:rPr>
              <w:t>由于项目区内无员工宿舍，</w:t>
            </w:r>
            <w:r>
              <w:rPr>
                <w:color w:val="auto"/>
                <w:sz w:val="28"/>
                <w:szCs w:val="28"/>
              </w:rPr>
              <w:t>年工作时间</w:t>
            </w:r>
            <w:r>
              <w:rPr>
                <w:rFonts w:hint="eastAsia"/>
                <w:color w:val="auto"/>
                <w:sz w:val="28"/>
                <w:szCs w:val="28"/>
              </w:rPr>
              <w:t>为</w:t>
            </w:r>
            <w:r>
              <w:rPr>
                <w:color w:val="auto"/>
                <w:sz w:val="28"/>
                <w:szCs w:val="28"/>
              </w:rPr>
              <w:t>2</w:t>
            </w:r>
            <w:r>
              <w:rPr>
                <w:rFonts w:hint="eastAsia"/>
                <w:color w:val="auto"/>
                <w:sz w:val="28"/>
                <w:szCs w:val="28"/>
              </w:rPr>
              <w:t>1</w:t>
            </w:r>
            <w:r>
              <w:rPr>
                <w:color w:val="auto"/>
                <w:sz w:val="28"/>
                <w:szCs w:val="28"/>
              </w:rPr>
              <w:t>0d，</w:t>
            </w:r>
            <w:r>
              <w:rPr>
                <w:rFonts w:hint="eastAsia"/>
                <w:color w:val="auto"/>
                <w:sz w:val="28"/>
                <w:szCs w:val="28"/>
              </w:rPr>
              <w:t>根据《新疆维吾尔自治区生活用水定额》农村居民住宅北疆伊阿塔区用水为20～30升/人·日，用水定额取25升/人·日，</w:t>
            </w:r>
            <w:r>
              <w:rPr>
                <w:color w:val="auto"/>
                <w:sz w:val="28"/>
                <w:szCs w:val="28"/>
              </w:rPr>
              <w:t>则生活用水量为</w:t>
            </w:r>
            <w:r>
              <w:rPr>
                <w:rFonts w:hint="eastAsia"/>
                <w:color w:val="auto"/>
                <w:sz w:val="28"/>
                <w:szCs w:val="28"/>
                <w:lang w:val="en-US" w:eastAsia="zh-CN"/>
              </w:rPr>
              <w:t>42</w:t>
            </w:r>
            <w:r>
              <w:rPr>
                <w:color w:val="auto"/>
                <w:sz w:val="28"/>
                <w:szCs w:val="28"/>
              </w:rPr>
              <w:t>m</w:t>
            </w:r>
            <w:r>
              <w:rPr>
                <w:rFonts w:hint="eastAsia"/>
                <w:color w:val="auto"/>
                <w:sz w:val="28"/>
                <w:szCs w:val="28"/>
                <w:vertAlign w:val="superscript"/>
              </w:rPr>
              <w:t>3</w:t>
            </w:r>
            <w:r>
              <w:rPr>
                <w:color w:val="auto"/>
                <w:sz w:val="28"/>
                <w:szCs w:val="28"/>
              </w:rPr>
              <w:t>/a，生活用水排水量按用水量的80%估算，则项目排水量约为</w:t>
            </w:r>
            <w:r>
              <w:rPr>
                <w:rFonts w:hint="eastAsia"/>
                <w:color w:val="auto"/>
                <w:sz w:val="28"/>
                <w:szCs w:val="28"/>
                <w:lang w:val="en-US" w:eastAsia="zh-CN"/>
              </w:rPr>
              <w:t>33.6</w:t>
            </w:r>
            <w:r>
              <w:rPr>
                <w:color w:val="auto"/>
                <w:sz w:val="28"/>
                <w:szCs w:val="28"/>
              </w:rPr>
              <w:t>m</w:t>
            </w:r>
            <w:r>
              <w:rPr>
                <w:rFonts w:hint="eastAsia"/>
                <w:color w:val="auto"/>
                <w:sz w:val="28"/>
                <w:szCs w:val="28"/>
                <w:vertAlign w:val="superscript"/>
              </w:rPr>
              <w:t>3</w:t>
            </w:r>
            <w:r>
              <w:rPr>
                <w:color w:val="auto"/>
                <w:sz w:val="28"/>
                <w:szCs w:val="28"/>
              </w:rPr>
              <w:t>/a。废水主要污染物为COD、BODs、NH</w:t>
            </w:r>
            <w:r>
              <w:rPr>
                <w:rFonts w:hint="eastAsia"/>
                <w:color w:val="auto"/>
                <w:sz w:val="28"/>
                <w:szCs w:val="28"/>
                <w:vertAlign w:val="subscript"/>
              </w:rPr>
              <w:t>3</w:t>
            </w:r>
            <w:r>
              <w:rPr>
                <w:rFonts w:hint="eastAsia"/>
                <w:color w:val="auto"/>
                <w:sz w:val="28"/>
                <w:szCs w:val="28"/>
              </w:rPr>
              <w:t>-</w:t>
            </w:r>
            <w:r>
              <w:rPr>
                <w:color w:val="auto"/>
                <w:sz w:val="28"/>
                <w:szCs w:val="28"/>
              </w:rPr>
              <w:t>N、S</w:t>
            </w:r>
            <w:r>
              <w:rPr>
                <w:rFonts w:hint="eastAsia"/>
                <w:color w:val="auto"/>
                <w:sz w:val="28"/>
                <w:szCs w:val="28"/>
              </w:rPr>
              <w:t>S</w:t>
            </w:r>
            <w:r>
              <w:rPr>
                <w:color w:val="auto"/>
                <w:sz w:val="28"/>
                <w:szCs w:val="28"/>
              </w:rPr>
              <w:t>、动植物油等。根据有关资料对比估算，本项目污水的水质产生浓度为：COD</w:t>
            </w:r>
            <w:r>
              <w:rPr>
                <w:color w:val="auto"/>
                <w:sz w:val="28"/>
                <w:szCs w:val="28"/>
                <w:vertAlign w:val="subscript"/>
              </w:rPr>
              <w:t>Cr</w:t>
            </w:r>
            <w:r>
              <w:rPr>
                <w:color w:val="auto"/>
                <w:sz w:val="28"/>
                <w:szCs w:val="28"/>
              </w:rPr>
              <w:t>：</w:t>
            </w:r>
            <w:r>
              <w:rPr>
                <w:rFonts w:hint="eastAsia"/>
                <w:color w:val="auto"/>
                <w:sz w:val="28"/>
                <w:szCs w:val="28"/>
              </w:rPr>
              <w:t>350</w:t>
            </w:r>
            <w:r>
              <w:rPr>
                <w:color w:val="auto"/>
                <w:sz w:val="28"/>
                <w:szCs w:val="28"/>
              </w:rPr>
              <w:t>mg/L，BOD</w:t>
            </w:r>
            <w:r>
              <w:rPr>
                <w:color w:val="auto"/>
                <w:sz w:val="28"/>
                <w:szCs w:val="28"/>
                <w:vertAlign w:val="subscript"/>
              </w:rPr>
              <w:t>5</w:t>
            </w:r>
            <w:r>
              <w:rPr>
                <w:color w:val="auto"/>
                <w:sz w:val="28"/>
                <w:szCs w:val="28"/>
              </w:rPr>
              <w:t>：</w:t>
            </w:r>
            <w:r>
              <w:rPr>
                <w:rFonts w:hint="eastAsia"/>
                <w:color w:val="auto"/>
                <w:sz w:val="28"/>
                <w:szCs w:val="28"/>
              </w:rPr>
              <w:t>200</w:t>
            </w:r>
            <w:r>
              <w:rPr>
                <w:color w:val="auto"/>
                <w:sz w:val="28"/>
                <w:szCs w:val="28"/>
              </w:rPr>
              <w:t>mg/L，SS：</w:t>
            </w:r>
            <w:r>
              <w:rPr>
                <w:rFonts w:hint="eastAsia"/>
                <w:color w:val="auto"/>
                <w:sz w:val="28"/>
                <w:szCs w:val="28"/>
              </w:rPr>
              <w:t>2</w:t>
            </w:r>
            <w:r>
              <w:rPr>
                <w:rFonts w:hint="eastAsia"/>
                <w:color w:val="auto"/>
                <w:sz w:val="28"/>
                <w:szCs w:val="28"/>
                <w:lang w:val="en-US" w:eastAsia="zh-CN"/>
              </w:rPr>
              <w:t>5</w:t>
            </w:r>
            <w:r>
              <w:rPr>
                <w:rFonts w:hint="eastAsia"/>
                <w:color w:val="auto"/>
                <w:sz w:val="28"/>
                <w:szCs w:val="28"/>
              </w:rPr>
              <w:t>0</w:t>
            </w:r>
            <w:r>
              <w:rPr>
                <w:color w:val="auto"/>
                <w:sz w:val="28"/>
                <w:szCs w:val="28"/>
              </w:rPr>
              <w:t>mg/L，NH</w:t>
            </w:r>
            <w:r>
              <w:rPr>
                <w:rFonts w:hint="eastAsia"/>
                <w:color w:val="auto"/>
                <w:sz w:val="28"/>
                <w:szCs w:val="28"/>
                <w:vertAlign w:val="subscript"/>
              </w:rPr>
              <w:t>3</w:t>
            </w:r>
            <w:r>
              <w:rPr>
                <w:color w:val="auto"/>
                <w:sz w:val="28"/>
                <w:szCs w:val="28"/>
              </w:rPr>
              <w:t>-N：</w:t>
            </w:r>
            <w:r>
              <w:rPr>
                <w:rFonts w:hint="eastAsia"/>
                <w:color w:val="auto"/>
                <w:sz w:val="28"/>
                <w:szCs w:val="28"/>
              </w:rPr>
              <w:t>35</w:t>
            </w:r>
            <w:r>
              <w:rPr>
                <w:color w:val="auto"/>
                <w:sz w:val="28"/>
                <w:szCs w:val="28"/>
              </w:rPr>
              <w:t>mg/L</w:t>
            </w:r>
            <w:r>
              <w:rPr>
                <w:rFonts w:hint="eastAsia"/>
                <w:color w:val="auto"/>
                <w:sz w:val="28"/>
                <w:szCs w:val="28"/>
              </w:rPr>
              <w:t>，产生量为COD：0.0</w:t>
            </w:r>
            <w:r>
              <w:rPr>
                <w:rFonts w:hint="eastAsia"/>
                <w:color w:val="auto"/>
                <w:sz w:val="28"/>
                <w:szCs w:val="28"/>
                <w:lang w:val="en-US" w:eastAsia="zh-CN"/>
              </w:rPr>
              <w:t>12</w:t>
            </w:r>
            <w:r>
              <w:rPr>
                <w:rFonts w:hint="eastAsia"/>
                <w:color w:val="auto"/>
                <w:sz w:val="28"/>
                <w:szCs w:val="28"/>
              </w:rPr>
              <w:t>t/a，</w:t>
            </w:r>
            <w:r>
              <w:rPr>
                <w:color w:val="auto"/>
                <w:sz w:val="28"/>
                <w:szCs w:val="28"/>
              </w:rPr>
              <w:t>BOD</w:t>
            </w:r>
            <w:r>
              <w:rPr>
                <w:color w:val="auto"/>
                <w:sz w:val="28"/>
                <w:szCs w:val="28"/>
                <w:vertAlign w:val="subscript"/>
              </w:rPr>
              <w:t>5</w:t>
            </w:r>
            <w:r>
              <w:rPr>
                <w:color w:val="auto"/>
                <w:sz w:val="28"/>
                <w:szCs w:val="28"/>
              </w:rPr>
              <w:t>：</w:t>
            </w:r>
            <w:r>
              <w:rPr>
                <w:rFonts w:hint="eastAsia"/>
                <w:color w:val="auto"/>
                <w:sz w:val="28"/>
                <w:szCs w:val="28"/>
              </w:rPr>
              <w:t>0.0</w:t>
            </w:r>
            <w:r>
              <w:rPr>
                <w:rFonts w:hint="eastAsia"/>
                <w:color w:val="auto"/>
                <w:sz w:val="28"/>
                <w:szCs w:val="28"/>
                <w:lang w:val="en-US" w:eastAsia="zh-CN"/>
              </w:rPr>
              <w:t>067</w:t>
            </w:r>
            <w:r>
              <w:rPr>
                <w:rFonts w:hint="eastAsia"/>
                <w:color w:val="auto"/>
                <w:sz w:val="28"/>
                <w:szCs w:val="28"/>
              </w:rPr>
              <w:t>t/a，</w:t>
            </w:r>
            <w:r>
              <w:rPr>
                <w:color w:val="auto"/>
                <w:sz w:val="28"/>
                <w:szCs w:val="28"/>
              </w:rPr>
              <w:t>SS：</w:t>
            </w:r>
            <w:r>
              <w:rPr>
                <w:rFonts w:hint="eastAsia"/>
                <w:color w:val="auto"/>
                <w:sz w:val="28"/>
                <w:szCs w:val="28"/>
              </w:rPr>
              <w:t>0.0</w:t>
            </w:r>
            <w:r>
              <w:rPr>
                <w:rFonts w:hint="eastAsia"/>
                <w:color w:val="auto"/>
                <w:sz w:val="28"/>
                <w:szCs w:val="28"/>
                <w:lang w:val="en-US" w:eastAsia="zh-CN"/>
              </w:rPr>
              <w:t>084</w:t>
            </w:r>
            <w:r>
              <w:rPr>
                <w:rFonts w:hint="eastAsia"/>
                <w:color w:val="auto"/>
                <w:sz w:val="28"/>
                <w:szCs w:val="28"/>
              </w:rPr>
              <w:t>t/a，</w:t>
            </w:r>
            <w:r>
              <w:rPr>
                <w:color w:val="auto"/>
                <w:sz w:val="28"/>
                <w:szCs w:val="28"/>
              </w:rPr>
              <w:t>NH</w:t>
            </w:r>
            <w:r>
              <w:rPr>
                <w:rFonts w:hint="eastAsia"/>
                <w:color w:val="auto"/>
                <w:sz w:val="28"/>
                <w:szCs w:val="28"/>
                <w:vertAlign w:val="subscript"/>
              </w:rPr>
              <w:t>3</w:t>
            </w:r>
            <w:r>
              <w:rPr>
                <w:color w:val="auto"/>
                <w:sz w:val="28"/>
                <w:szCs w:val="28"/>
              </w:rPr>
              <w:t>-N：</w:t>
            </w:r>
            <w:r>
              <w:rPr>
                <w:rFonts w:hint="eastAsia"/>
                <w:color w:val="auto"/>
                <w:sz w:val="28"/>
                <w:szCs w:val="28"/>
              </w:rPr>
              <w:t>0.00</w:t>
            </w:r>
            <w:r>
              <w:rPr>
                <w:rFonts w:hint="eastAsia"/>
                <w:color w:val="auto"/>
                <w:sz w:val="28"/>
                <w:szCs w:val="28"/>
                <w:lang w:val="en-US" w:eastAsia="zh-CN"/>
              </w:rPr>
              <w:t>12</w:t>
            </w:r>
            <w:r>
              <w:rPr>
                <w:rFonts w:hint="eastAsia"/>
                <w:color w:val="auto"/>
                <w:sz w:val="28"/>
                <w:szCs w:val="28"/>
              </w:rPr>
              <w:t>t/a，废水排入下水管网</w:t>
            </w:r>
            <w:r>
              <w:rPr>
                <w:rFonts w:hint="eastAsia"/>
                <w:color w:val="auto"/>
                <w:sz w:val="28"/>
                <w:szCs w:val="28"/>
                <w:lang w:eastAsia="zh-CN"/>
              </w:rPr>
              <w:t>由工业园区污水处理厂统一处理</w:t>
            </w:r>
            <w:r>
              <w:rPr>
                <w:rFonts w:hint="eastAsia"/>
                <w:color w:val="auto"/>
                <w:sz w:val="28"/>
                <w:szCs w:val="28"/>
              </w:rPr>
              <w:t>。</w:t>
            </w:r>
          </w:p>
          <w:p>
            <w:pPr>
              <w:spacing w:line="500" w:lineRule="exact"/>
              <w:ind w:firstLine="560" w:firstLineChars="200"/>
              <w:rPr>
                <w:rFonts w:hint="eastAsia" w:eastAsia="宋体"/>
                <w:lang w:eastAsia="zh-CN"/>
              </w:rPr>
            </w:pPr>
            <w:r>
              <w:rPr>
                <w:rFonts w:hint="eastAsia"/>
                <w:color w:val="0000E1"/>
                <w:sz w:val="28"/>
                <w:szCs w:val="28"/>
                <w:lang w:eastAsia="zh-CN"/>
              </w:rPr>
              <w:t>巩留工业园污水处理厂占地污水处理厂占地面积52700m</w:t>
            </w:r>
            <w:r>
              <w:rPr>
                <w:rFonts w:hint="eastAsia"/>
                <w:color w:val="0000E1"/>
                <w:sz w:val="28"/>
                <w:szCs w:val="28"/>
                <w:vertAlign w:val="superscript"/>
                <w:lang w:eastAsia="zh-CN"/>
              </w:rPr>
              <w:t>2</w:t>
            </w:r>
            <w:r>
              <w:rPr>
                <w:rFonts w:hint="eastAsia"/>
                <w:color w:val="0000E1"/>
                <w:sz w:val="28"/>
                <w:szCs w:val="28"/>
                <w:lang w:eastAsia="zh-CN"/>
              </w:rPr>
              <w:t>（79.05亩），近期处理规模为500m</w:t>
            </w:r>
            <w:r>
              <w:rPr>
                <w:rFonts w:hint="eastAsia"/>
                <w:color w:val="0000E1"/>
                <w:sz w:val="28"/>
                <w:szCs w:val="28"/>
                <w:vertAlign w:val="superscript"/>
                <w:lang w:val="en-US" w:eastAsia="zh-CN"/>
              </w:rPr>
              <w:t>3</w:t>
            </w:r>
            <w:r>
              <w:rPr>
                <w:rFonts w:hint="eastAsia"/>
                <w:color w:val="0000E1"/>
                <w:sz w:val="28"/>
                <w:szCs w:val="28"/>
                <w:lang w:eastAsia="zh-CN"/>
              </w:rPr>
              <w:t>/d，远期处理规模为0.6万m</w:t>
            </w:r>
            <w:r>
              <w:rPr>
                <w:rFonts w:hint="eastAsia"/>
                <w:color w:val="0000E1"/>
                <w:sz w:val="28"/>
                <w:szCs w:val="28"/>
                <w:vertAlign w:val="superscript"/>
                <w:lang w:val="en-US" w:eastAsia="zh-CN"/>
              </w:rPr>
              <w:t>3</w:t>
            </w:r>
            <w:r>
              <w:rPr>
                <w:rFonts w:hint="eastAsia"/>
                <w:color w:val="0000E1"/>
                <w:sz w:val="28"/>
                <w:szCs w:val="28"/>
                <w:lang w:eastAsia="zh-CN"/>
              </w:rPr>
              <w:t>/d。污水处理工艺为A/</w:t>
            </w:r>
            <w:r>
              <w:rPr>
                <w:rFonts w:hint="eastAsia"/>
                <w:color w:val="0000E1"/>
                <w:sz w:val="28"/>
                <w:szCs w:val="28"/>
                <w:lang w:val="en-US" w:eastAsia="zh-CN"/>
              </w:rPr>
              <w:t>O</w:t>
            </w:r>
            <w:r>
              <w:rPr>
                <w:rFonts w:hint="eastAsia"/>
                <w:color w:val="0000E1"/>
                <w:sz w:val="28"/>
                <w:szCs w:val="28"/>
                <w:lang w:eastAsia="zh-CN"/>
              </w:rPr>
              <w:t>生物接触氧化污水处理工艺，将接纳园区各单位产生的生产、生活污水。污水处理厂新建的构筑物主要有粗格栅提升泵房、细格栅平流沉砂池、调节池、缺氧池、好氧池、沉淀池污泥池、过滤消毒池、次氯酸钠消毒池、脱水机房等，最终出水标准为一级A标准。</w:t>
            </w:r>
            <w:r>
              <w:rPr>
                <w:color w:val="0000E1"/>
                <w:sz w:val="28"/>
                <w:szCs w:val="28"/>
              </w:rPr>
              <w:t>项目排水量约为</w:t>
            </w:r>
            <w:r>
              <w:rPr>
                <w:rFonts w:hint="eastAsia"/>
                <w:color w:val="0000E1"/>
                <w:sz w:val="28"/>
                <w:szCs w:val="28"/>
                <w:lang w:val="en-US" w:eastAsia="zh-CN"/>
              </w:rPr>
              <w:t>33.6</w:t>
            </w:r>
            <w:r>
              <w:rPr>
                <w:color w:val="0000E1"/>
                <w:sz w:val="28"/>
                <w:szCs w:val="28"/>
              </w:rPr>
              <w:t>m</w:t>
            </w:r>
            <w:r>
              <w:rPr>
                <w:rFonts w:hint="eastAsia"/>
                <w:color w:val="0000E1"/>
                <w:sz w:val="28"/>
                <w:szCs w:val="28"/>
                <w:vertAlign w:val="superscript"/>
              </w:rPr>
              <w:t>3</w:t>
            </w:r>
            <w:r>
              <w:rPr>
                <w:color w:val="0000E1"/>
                <w:sz w:val="28"/>
                <w:szCs w:val="28"/>
              </w:rPr>
              <w:t>/a</w:t>
            </w:r>
            <w:r>
              <w:rPr>
                <w:rFonts w:hint="eastAsia"/>
                <w:color w:val="0000E1"/>
                <w:sz w:val="28"/>
                <w:szCs w:val="28"/>
                <w:lang w:eastAsia="zh-CN"/>
              </w:rPr>
              <w:t>，产生量较小，生活废水依托园区污水处理厂进行处理可行。</w:t>
            </w:r>
          </w:p>
          <w:p>
            <w:pPr>
              <w:spacing w:line="520" w:lineRule="exact"/>
              <w:rPr>
                <w:b/>
                <w:color w:val="auto"/>
                <w:kern w:val="0"/>
                <w:sz w:val="28"/>
                <w:szCs w:val="28"/>
              </w:rPr>
            </w:pPr>
            <w:r>
              <w:rPr>
                <w:b/>
                <w:color w:val="auto"/>
                <w:kern w:val="0"/>
                <w:sz w:val="28"/>
                <w:szCs w:val="28"/>
              </w:rPr>
              <w:t>3噪声</w:t>
            </w:r>
          </w:p>
          <w:p>
            <w:pPr>
              <w:autoSpaceDE w:val="0"/>
              <w:autoSpaceDN w:val="0"/>
              <w:adjustRightInd w:val="0"/>
              <w:spacing w:line="520" w:lineRule="exact"/>
              <w:ind w:firstLine="560" w:firstLineChars="200"/>
              <w:rPr>
                <w:color w:val="auto"/>
                <w:sz w:val="28"/>
                <w:szCs w:val="28"/>
              </w:rPr>
            </w:pPr>
            <w:r>
              <w:rPr>
                <w:color w:val="auto"/>
                <w:sz w:val="28"/>
                <w:szCs w:val="28"/>
              </w:rPr>
              <w:t>项目的主要噪声源主要为</w:t>
            </w:r>
            <w:r>
              <w:rPr>
                <w:rFonts w:hint="eastAsia"/>
                <w:color w:val="auto"/>
                <w:sz w:val="28"/>
                <w:szCs w:val="28"/>
              </w:rPr>
              <w:t>发泡机</w:t>
            </w:r>
            <w:r>
              <w:rPr>
                <w:color w:val="auto"/>
                <w:sz w:val="28"/>
                <w:szCs w:val="28"/>
              </w:rPr>
              <w:t>、</w:t>
            </w:r>
            <w:r>
              <w:rPr>
                <w:rFonts w:hint="eastAsia"/>
                <w:color w:val="auto"/>
                <w:sz w:val="28"/>
                <w:szCs w:val="28"/>
              </w:rPr>
              <w:t>定型机</w:t>
            </w:r>
            <w:r>
              <w:rPr>
                <w:color w:val="auto"/>
                <w:sz w:val="28"/>
                <w:szCs w:val="28"/>
              </w:rPr>
              <w:t>、</w:t>
            </w:r>
            <w:r>
              <w:rPr>
                <w:rFonts w:hint="eastAsia"/>
                <w:color w:val="auto"/>
                <w:sz w:val="28"/>
                <w:szCs w:val="28"/>
              </w:rPr>
              <w:t>空气压缩机</w:t>
            </w:r>
            <w:r>
              <w:rPr>
                <w:color w:val="auto"/>
                <w:sz w:val="28"/>
                <w:szCs w:val="28"/>
              </w:rPr>
              <w:t>等。</w:t>
            </w:r>
          </w:p>
          <w:p>
            <w:pPr>
              <w:autoSpaceDE w:val="0"/>
              <w:autoSpaceDN w:val="0"/>
              <w:adjustRightInd w:val="0"/>
              <w:spacing w:line="520" w:lineRule="exact"/>
              <w:rPr>
                <w:color w:val="auto"/>
                <w:sz w:val="28"/>
                <w:szCs w:val="28"/>
              </w:rPr>
            </w:pPr>
            <w:r>
              <w:rPr>
                <w:b/>
                <w:bCs/>
                <w:color w:val="auto"/>
                <w:sz w:val="28"/>
                <w:szCs w:val="28"/>
              </w:rPr>
              <w:t>3.1噪声影响</w:t>
            </w:r>
          </w:p>
          <w:p>
            <w:pPr>
              <w:autoSpaceDE w:val="0"/>
              <w:autoSpaceDN w:val="0"/>
              <w:adjustRightInd w:val="0"/>
              <w:spacing w:line="520" w:lineRule="exact"/>
              <w:ind w:firstLine="560" w:firstLineChars="200"/>
              <w:rPr>
                <w:rFonts w:eastAsia="黑体"/>
                <w:bCs/>
                <w:color w:val="auto"/>
                <w:sz w:val="24"/>
                <w:szCs w:val="28"/>
                <w:lang w:val="zh-CN"/>
              </w:rPr>
            </w:pPr>
            <w:r>
              <w:rPr>
                <w:color w:val="auto"/>
                <w:sz w:val="28"/>
                <w:szCs w:val="28"/>
              </w:rPr>
              <w:t>本工程主要噪声设备的源强见下表。</w:t>
            </w:r>
          </w:p>
          <w:p>
            <w:pPr>
              <w:snapToGrid w:val="0"/>
              <w:ind w:firstLine="480" w:firstLineChars="200"/>
              <w:rPr>
                <w:rFonts w:eastAsia="黑体"/>
                <w:bCs/>
                <w:color w:val="auto"/>
                <w:sz w:val="24"/>
                <w:szCs w:val="28"/>
                <w:lang w:val="zh-CN"/>
              </w:rPr>
            </w:pPr>
            <w:r>
              <w:rPr>
                <w:rFonts w:eastAsia="黑体"/>
                <w:bCs/>
                <w:color w:val="auto"/>
                <w:sz w:val="24"/>
                <w:szCs w:val="28"/>
                <w:lang w:val="zh-CN"/>
              </w:rPr>
              <w:t>表</w:t>
            </w:r>
            <w:r>
              <w:rPr>
                <w:rFonts w:hint="eastAsia" w:eastAsia="黑体"/>
                <w:bCs/>
                <w:color w:val="auto"/>
                <w:sz w:val="24"/>
                <w:szCs w:val="28"/>
              </w:rPr>
              <w:t>22</w:t>
            </w:r>
            <w:r>
              <w:rPr>
                <w:rFonts w:eastAsia="黑体"/>
                <w:bCs/>
                <w:color w:val="auto"/>
                <w:sz w:val="24"/>
                <w:szCs w:val="28"/>
              </w:rPr>
              <w:t xml:space="preserve">           </w:t>
            </w:r>
            <w:r>
              <w:rPr>
                <w:rFonts w:eastAsia="黑体"/>
                <w:bCs/>
                <w:color w:val="auto"/>
                <w:sz w:val="24"/>
                <w:szCs w:val="28"/>
                <w:lang w:val="zh-CN"/>
              </w:rPr>
              <w:tab/>
            </w:r>
            <w:r>
              <w:rPr>
                <w:rFonts w:eastAsia="黑体"/>
                <w:bCs/>
                <w:color w:val="auto"/>
                <w:sz w:val="24"/>
                <w:szCs w:val="28"/>
                <w:lang w:val="zh-CN"/>
              </w:rPr>
              <w:t>本项目主要机械设备噪声源一览表</w:t>
            </w:r>
          </w:p>
          <w:tbl>
            <w:tblPr>
              <w:tblStyle w:val="18"/>
              <w:tblW w:w="4998" w:type="pct"/>
              <w:tblInd w:w="0" w:type="dxa"/>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721"/>
              <w:gridCol w:w="2153"/>
              <w:gridCol w:w="1374"/>
              <w:gridCol w:w="1279"/>
              <w:gridCol w:w="1279"/>
              <w:gridCol w:w="1119"/>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szCs w:val="21"/>
                      <w:lang w:val="zh-CN" w:bidi="zh-CN"/>
                    </w:rPr>
                  </w:pPr>
                  <w:r>
                    <w:rPr>
                      <w:color w:val="auto"/>
                      <w:szCs w:val="21"/>
                      <w:lang w:val="zh-CN" w:bidi="zh-CN"/>
                    </w:rPr>
                    <w:t>序号</w:t>
                  </w:r>
                </w:p>
              </w:tc>
              <w:tc>
                <w:tcPr>
                  <w:tcW w:w="1357" w:type="pct"/>
                  <w:vAlign w:val="center"/>
                </w:tcPr>
                <w:p>
                  <w:pPr>
                    <w:autoSpaceDE w:val="0"/>
                    <w:autoSpaceDN w:val="0"/>
                    <w:jc w:val="center"/>
                    <w:rPr>
                      <w:color w:val="auto"/>
                      <w:szCs w:val="21"/>
                      <w:lang w:val="zh-CN" w:bidi="zh-CN"/>
                    </w:rPr>
                  </w:pPr>
                  <w:r>
                    <w:rPr>
                      <w:color w:val="auto"/>
                      <w:szCs w:val="21"/>
                      <w:lang w:val="zh-CN" w:bidi="zh-CN"/>
                    </w:rPr>
                    <w:t>噪声源</w:t>
                  </w:r>
                </w:p>
              </w:tc>
              <w:tc>
                <w:tcPr>
                  <w:tcW w:w="866" w:type="pct"/>
                  <w:vAlign w:val="center"/>
                </w:tcPr>
                <w:p>
                  <w:pPr>
                    <w:autoSpaceDE w:val="0"/>
                    <w:autoSpaceDN w:val="0"/>
                    <w:jc w:val="center"/>
                    <w:rPr>
                      <w:color w:val="auto"/>
                      <w:szCs w:val="21"/>
                      <w:lang w:val="zh-CN" w:bidi="zh-CN"/>
                    </w:rPr>
                  </w:pPr>
                  <w:r>
                    <w:rPr>
                      <w:color w:val="auto"/>
                      <w:szCs w:val="21"/>
                      <w:lang w:val="zh-CN" w:bidi="zh-CN"/>
                    </w:rPr>
                    <w:t>所在位置</w:t>
                  </w:r>
                </w:p>
              </w:tc>
              <w:tc>
                <w:tcPr>
                  <w:tcW w:w="807" w:type="pct"/>
                  <w:vAlign w:val="center"/>
                </w:tcPr>
                <w:p>
                  <w:pPr>
                    <w:autoSpaceDE w:val="0"/>
                    <w:autoSpaceDN w:val="0"/>
                    <w:jc w:val="center"/>
                    <w:rPr>
                      <w:color w:val="auto"/>
                      <w:szCs w:val="21"/>
                      <w:lang w:val="zh-CN" w:bidi="zh-CN"/>
                    </w:rPr>
                  </w:pPr>
                  <w:r>
                    <w:rPr>
                      <w:color w:val="auto"/>
                      <w:szCs w:val="21"/>
                      <w:lang w:val="zh-CN" w:bidi="zh-CN"/>
                    </w:rPr>
                    <w:t>数量</w:t>
                  </w:r>
                </w:p>
              </w:tc>
              <w:tc>
                <w:tcPr>
                  <w:tcW w:w="807" w:type="pct"/>
                  <w:vAlign w:val="center"/>
                </w:tcPr>
                <w:p>
                  <w:pPr>
                    <w:autoSpaceDE w:val="0"/>
                    <w:autoSpaceDN w:val="0"/>
                    <w:jc w:val="center"/>
                    <w:rPr>
                      <w:color w:val="auto"/>
                      <w:szCs w:val="21"/>
                      <w:lang w:val="zh-CN" w:bidi="zh-CN"/>
                    </w:rPr>
                  </w:pPr>
                  <w:r>
                    <w:rPr>
                      <w:color w:val="auto"/>
                      <w:szCs w:val="21"/>
                      <w:lang w:val="zh-CN" w:bidi="zh-CN"/>
                    </w:rPr>
                    <w:t>工作状况</w:t>
                  </w:r>
                </w:p>
              </w:tc>
              <w:tc>
                <w:tcPr>
                  <w:tcW w:w="706" w:type="pct"/>
                  <w:vAlign w:val="center"/>
                </w:tcPr>
                <w:p>
                  <w:pPr>
                    <w:autoSpaceDE w:val="0"/>
                    <w:autoSpaceDN w:val="0"/>
                    <w:jc w:val="center"/>
                    <w:rPr>
                      <w:color w:val="auto"/>
                      <w:szCs w:val="21"/>
                      <w:lang w:val="zh-CN" w:bidi="zh-CN"/>
                    </w:rPr>
                  </w:pPr>
                  <w:r>
                    <w:rPr>
                      <w:color w:val="auto"/>
                      <w:szCs w:val="21"/>
                      <w:lang w:val="zh-CN" w:bidi="zh-CN"/>
                    </w:rPr>
                    <w:t>噪声dB（</w:t>
                  </w:r>
                  <w:r>
                    <w:rPr>
                      <w:color w:val="auto"/>
                      <w:szCs w:val="21"/>
                      <w:lang w:bidi="zh-CN"/>
                    </w:rPr>
                    <w:t>A</w:t>
                  </w:r>
                  <w:r>
                    <w:rPr>
                      <w:color w:val="auto"/>
                      <w:szCs w:val="21"/>
                      <w:lang w:val="zh-CN" w:bidi="zh-CN"/>
                    </w:rPr>
                    <w:t>）</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szCs w:val="21"/>
                      <w:lang w:val="zh-CN" w:bidi="zh-CN"/>
                    </w:rPr>
                  </w:pPr>
                  <w:r>
                    <w:rPr>
                      <w:color w:val="auto"/>
                      <w:w w:val="99"/>
                      <w:szCs w:val="21"/>
                      <w:lang w:val="zh-CN" w:bidi="zh-CN"/>
                    </w:rPr>
                    <w:t>1</w:t>
                  </w:r>
                </w:p>
              </w:tc>
              <w:tc>
                <w:tcPr>
                  <w:tcW w:w="1357" w:type="pct"/>
                  <w:vAlign w:val="center"/>
                </w:tcPr>
                <w:p>
                  <w:pPr>
                    <w:autoSpaceDE w:val="0"/>
                    <w:autoSpaceDN w:val="0"/>
                    <w:jc w:val="center"/>
                    <w:rPr>
                      <w:color w:val="auto"/>
                      <w:szCs w:val="21"/>
                      <w:lang w:val="zh-CN" w:bidi="zh-CN"/>
                    </w:rPr>
                  </w:pPr>
                  <w:r>
                    <w:rPr>
                      <w:rFonts w:hint="eastAsia"/>
                      <w:color w:val="auto"/>
                      <w:szCs w:val="21"/>
                    </w:rPr>
                    <w:t>发泡机</w:t>
                  </w:r>
                </w:p>
              </w:tc>
              <w:tc>
                <w:tcPr>
                  <w:tcW w:w="866" w:type="pct"/>
                  <w:vAlign w:val="center"/>
                </w:tcPr>
                <w:p>
                  <w:pPr>
                    <w:autoSpaceDE w:val="0"/>
                    <w:autoSpaceDN w:val="0"/>
                    <w:jc w:val="center"/>
                    <w:rPr>
                      <w:color w:val="auto"/>
                      <w:szCs w:val="21"/>
                      <w:lang w:val="zh-CN" w:bidi="zh-CN"/>
                    </w:rPr>
                  </w:pPr>
                  <w:r>
                    <w:rPr>
                      <w:rFonts w:hint="eastAsia"/>
                      <w:color w:val="auto"/>
                      <w:szCs w:val="21"/>
                      <w:lang w:val="zh-CN" w:bidi="zh-CN"/>
                    </w:rPr>
                    <w:t>生产车间</w:t>
                  </w:r>
                </w:p>
              </w:tc>
              <w:tc>
                <w:tcPr>
                  <w:tcW w:w="807" w:type="pct"/>
                  <w:vAlign w:val="center"/>
                </w:tcPr>
                <w:p>
                  <w:pPr>
                    <w:autoSpaceDE w:val="0"/>
                    <w:autoSpaceDN w:val="0"/>
                    <w:jc w:val="center"/>
                    <w:rPr>
                      <w:color w:val="auto"/>
                      <w:szCs w:val="21"/>
                      <w:lang w:bidi="zh-CN"/>
                    </w:rPr>
                  </w:pPr>
                  <w:r>
                    <w:rPr>
                      <w:color w:val="auto"/>
                      <w:szCs w:val="21"/>
                      <w:lang w:bidi="zh-CN"/>
                    </w:rPr>
                    <w:t>1台</w:t>
                  </w:r>
                </w:p>
              </w:tc>
              <w:tc>
                <w:tcPr>
                  <w:tcW w:w="807" w:type="pct"/>
                  <w:vAlign w:val="center"/>
                </w:tcPr>
                <w:p>
                  <w:pPr>
                    <w:autoSpaceDE w:val="0"/>
                    <w:autoSpaceDN w:val="0"/>
                    <w:jc w:val="center"/>
                    <w:rPr>
                      <w:color w:val="auto"/>
                      <w:szCs w:val="21"/>
                      <w:lang w:val="zh-CN" w:bidi="zh-CN"/>
                    </w:rPr>
                  </w:pPr>
                  <w:r>
                    <w:rPr>
                      <w:color w:val="auto"/>
                      <w:szCs w:val="21"/>
                      <w:lang w:val="zh-CN" w:bidi="zh-CN"/>
                    </w:rPr>
                    <w:t>连续</w:t>
                  </w:r>
                </w:p>
              </w:tc>
              <w:tc>
                <w:tcPr>
                  <w:tcW w:w="1120" w:type="dxa"/>
                  <w:vAlign w:val="center"/>
                </w:tcPr>
                <w:p>
                  <w:pPr>
                    <w:autoSpaceDE w:val="0"/>
                    <w:autoSpaceDN w:val="0"/>
                    <w:jc w:val="center"/>
                    <w:rPr>
                      <w:color w:val="auto"/>
                      <w:szCs w:val="21"/>
                      <w:lang w:val="zh-CN" w:bidi="zh-CN"/>
                    </w:rPr>
                  </w:pPr>
                  <w:r>
                    <w:rPr>
                      <w:rFonts w:hint="eastAsia"/>
                      <w:color w:val="auto"/>
                      <w:szCs w:val="21"/>
                      <w:lang w:bidi="zh-CN"/>
                    </w:rPr>
                    <w:t>75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szCs w:val="21"/>
                      <w:lang w:val="zh-CN" w:bidi="zh-CN"/>
                    </w:rPr>
                  </w:pPr>
                  <w:r>
                    <w:rPr>
                      <w:color w:val="auto"/>
                      <w:w w:val="99"/>
                      <w:szCs w:val="21"/>
                      <w:lang w:val="zh-CN" w:bidi="zh-CN"/>
                    </w:rPr>
                    <w:t>2</w:t>
                  </w:r>
                </w:p>
              </w:tc>
              <w:tc>
                <w:tcPr>
                  <w:tcW w:w="1357" w:type="pct"/>
                  <w:vAlign w:val="center"/>
                </w:tcPr>
                <w:p>
                  <w:pPr>
                    <w:autoSpaceDE w:val="0"/>
                    <w:autoSpaceDN w:val="0"/>
                    <w:jc w:val="center"/>
                    <w:rPr>
                      <w:color w:val="auto"/>
                      <w:szCs w:val="21"/>
                      <w:lang w:val="zh-CN" w:bidi="zh-CN"/>
                    </w:rPr>
                  </w:pPr>
                  <w:r>
                    <w:rPr>
                      <w:rFonts w:hint="eastAsia"/>
                      <w:color w:val="auto"/>
                      <w:szCs w:val="21"/>
                      <w:lang w:bidi="zh-CN"/>
                    </w:rPr>
                    <w:t>板材机</w:t>
                  </w:r>
                </w:p>
              </w:tc>
              <w:tc>
                <w:tcPr>
                  <w:tcW w:w="866" w:type="pct"/>
                  <w:vAlign w:val="center"/>
                </w:tcPr>
                <w:p>
                  <w:pPr>
                    <w:autoSpaceDE w:val="0"/>
                    <w:autoSpaceDN w:val="0"/>
                    <w:jc w:val="center"/>
                    <w:rPr>
                      <w:color w:val="auto"/>
                      <w:szCs w:val="21"/>
                      <w:lang w:val="zh-CN" w:bidi="zh-CN"/>
                    </w:rPr>
                  </w:pPr>
                  <w:r>
                    <w:rPr>
                      <w:rFonts w:hint="eastAsia"/>
                      <w:color w:val="auto"/>
                      <w:szCs w:val="21"/>
                      <w:lang w:val="zh-CN" w:bidi="zh-CN"/>
                    </w:rPr>
                    <w:t>生产车间</w:t>
                  </w:r>
                </w:p>
              </w:tc>
              <w:tc>
                <w:tcPr>
                  <w:tcW w:w="807" w:type="pct"/>
                  <w:vAlign w:val="center"/>
                </w:tcPr>
                <w:p>
                  <w:pPr>
                    <w:autoSpaceDE w:val="0"/>
                    <w:autoSpaceDN w:val="0"/>
                    <w:jc w:val="center"/>
                    <w:rPr>
                      <w:color w:val="auto"/>
                      <w:szCs w:val="21"/>
                      <w:lang w:bidi="zh-CN"/>
                    </w:rPr>
                  </w:pPr>
                  <w:r>
                    <w:rPr>
                      <w:rFonts w:hint="eastAsia"/>
                      <w:color w:val="auto"/>
                      <w:szCs w:val="21"/>
                      <w:lang w:bidi="zh-CN"/>
                    </w:rPr>
                    <w:t>1</w:t>
                  </w:r>
                  <w:r>
                    <w:rPr>
                      <w:color w:val="auto"/>
                      <w:szCs w:val="21"/>
                      <w:lang w:bidi="zh-CN"/>
                    </w:rPr>
                    <w:t>台</w:t>
                  </w:r>
                </w:p>
              </w:tc>
              <w:tc>
                <w:tcPr>
                  <w:tcW w:w="807" w:type="pct"/>
                  <w:vAlign w:val="center"/>
                </w:tcPr>
                <w:p>
                  <w:pPr>
                    <w:autoSpaceDE w:val="0"/>
                    <w:autoSpaceDN w:val="0"/>
                    <w:jc w:val="center"/>
                    <w:rPr>
                      <w:color w:val="auto"/>
                      <w:szCs w:val="21"/>
                      <w:lang w:val="zh-CN" w:bidi="zh-CN"/>
                    </w:rPr>
                  </w:pPr>
                  <w:r>
                    <w:rPr>
                      <w:color w:val="auto"/>
                      <w:szCs w:val="21"/>
                      <w:lang w:val="zh-CN" w:bidi="zh-CN"/>
                    </w:rPr>
                    <w:t>连续</w:t>
                  </w:r>
                </w:p>
              </w:tc>
              <w:tc>
                <w:tcPr>
                  <w:tcW w:w="1120" w:type="dxa"/>
                  <w:vAlign w:val="center"/>
                </w:tcPr>
                <w:p>
                  <w:pPr>
                    <w:autoSpaceDE w:val="0"/>
                    <w:autoSpaceDN w:val="0"/>
                    <w:jc w:val="center"/>
                    <w:rPr>
                      <w:color w:val="auto"/>
                      <w:szCs w:val="21"/>
                      <w:lang w:val="zh-CN" w:bidi="zh-CN"/>
                    </w:rPr>
                  </w:pPr>
                  <w:r>
                    <w:rPr>
                      <w:rFonts w:hint="eastAsia"/>
                      <w:color w:val="auto"/>
                      <w:szCs w:val="21"/>
                      <w:lang w:bidi="zh-CN"/>
                    </w:rPr>
                    <w:t>70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w w:val="99"/>
                      <w:szCs w:val="21"/>
                      <w:lang w:bidi="zh-CN"/>
                    </w:rPr>
                  </w:pPr>
                  <w:r>
                    <w:rPr>
                      <w:color w:val="auto"/>
                      <w:w w:val="99"/>
                      <w:szCs w:val="21"/>
                      <w:lang w:bidi="zh-CN"/>
                    </w:rPr>
                    <w:t>3</w:t>
                  </w:r>
                </w:p>
              </w:tc>
              <w:tc>
                <w:tcPr>
                  <w:tcW w:w="1357" w:type="pct"/>
                  <w:vAlign w:val="center"/>
                </w:tcPr>
                <w:p>
                  <w:pPr>
                    <w:autoSpaceDE w:val="0"/>
                    <w:autoSpaceDN w:val="0"/>
                    <w:jc w:val="center"/>
                    <w:rPr>
                      <w:color w:val="auto"/>
                      <w:szCs w:val="21"/>
                      <w:lang w:val="zh-CN" w:bidi="zh-CN"/>
                    </w:rPr>
                  </w:pPr>
                  <w:r>
                    <w:rPr>
                      <w:rFonts w:hint="eastAsia"/>
                      <w:color w:val="auto"/>
                      <w:szCs w:val="21"/>
                      <w:lang w:bidi="zh-CN"/>
                    </w:rPr>
                    <w:t>切割机</w:t>
                  </w:r>
                </w:p>
              </w:tc>
              <w:tc>
                <w:tcPr>
                  <w:tcW w:w="866" w:type="pct"/>
                  <w:vAlign w:val="center"/>
                </w:tcPr>
                <w:p>
                  <w:pPr>
                    <w:autoSpaceDE w:val="0"/>
                    <w:autoSpaceDN w:val="0"/>
                    <w:jc w:val="center"/>
                    <w:rPr>
                      <w:color w:val="auto"/>
                      <w:szCs w:val="21"/>
                      <w:lang w:val="zh-CN" w:bidi="zh-CN"/>
                    </w:rPr>
                  </w:pPr>
                  <w:r>
                    <w:rPr>
                      <w:rFonts w:hint="eastAsia"/>
                      <w:color w:val="auto"/>
                      <w:szCs w:val="21"/>
                      <w:lang w:val="zh-CN" w:bidi="zh-CN"/>
                    </w:rPr>
                    <w:t>生产车间</w:t>
                  </w:r>
                </w:p>
              </w:tc>
              <w:tc>
                <w:tcPr>
                  <w:tcW w:w="807" w:type="pct"/>
                  <w:vAlign w:val="center"/>
                </w:tcPr>
                <w:p>
                  <w:pPr>
                    <w:autoSpaceDE w:val="0"/>
                    <w:autoSpaceDN w:val="0"/>
                    <w:jc w:val="center"/>
                    <w:rPr>
                      <w:color w:val="auto"/>
                      <w:szCs w:val="21"/>
                      <w:lang w:bidi="zh-CN"/>
                    </w:rPr>
                  </w:pPr>
                  <w:r>
                    <w:rPr>
                      <w:color w:val="auto"/>
                      <w:szCs w:val="21"/>
                      <w:lang w:bidi="zh-CN"/>
                    </w:rPr>
                    <w:t>1台</w:t>
                  </w:r>
                </w:p>
              </w:tc>
              <w:tc>
                <w:tcPr>
                  <w:tcW w:w="807" w:type="pct"/>
                  <w:vAlign w:val="center"/>
                </w:tcPr>
                <w:p>
                  <w:pPr>
                    <w:autoSpaceDE w:val="0"/>
                    <w:autoSpaceDN w:val="0"/>
                    <w:jc w:val="center"/>
                    <w:rPr>
                      <w:color w:val="auto"/>
                      <w:szCs w:val="21"/>
                      <w:lang w:val="zh-CN" w:bidi="zh-CN"/>
                    </w:rPr>
                  </w:pPr>
                  <w:r>
                    <w:rPr>
                      <w:color w:val="auto"/>
                      <w:szCs w:val="21"/>
                      <w:lang w:val="zh-CN" w:bidi="zh-CN"/>
                    </w:rPr>
                    <w:t>连续</w:t>
                  </w:r>
                </w:p>
              </w:tc>
              <w:tc>
                <w:tcPr>
                  <w:tcW w:w="1120" w:type="dxa"/>
                  <w:vAlign w:val="center"/>
                </w:tcPr>
                <w:p>
                  <w:pPr>
                    <w:autoSpaceDE w:val="0"/>
                    <w:autoSpaceDN w:val="0"/>
                    <w:jc w:val="center"/>
                    <w:rPr>
                      <w:color w:val="auto"/>
                      <w:szCs w:val="21"/>
                      <w:lang w:val="zh-CN" w:bidi="zh-CN"/>
                    </w:rPr>
                  </w:pPr>
                  <w:r>
                    <w:rPr>
                      <w:rFonts w:hint="eastAsia"/>
                      <w:color w:val="auto"/>
                      <w:szCs w:val="21"/>
                      <w:lang w:bidi="zh-CN"/>
                    </w:rPr>
                    <w:t>70</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w w:val="99"/>
                      <w:szCs w:val="21"/>
                      <w:lang w:bidi="zh-CN"/>
                    </w:rPr>
                  </w:pPr>
                  <w:r>
                    <w:rPr>
                      <w:color w:val="auto"/>
                      <w:w w:val="99"/>
                      <w:szCs w:val="21"/>
                      <w:lang w:bidi="zh-CN"/>
                    </w:rPr>
                    <w:t>4</w:t>
                  </w:r>
                </w:p>
              </w:tc>
              <w:tc>
                <w:tcPr>
                  <w:tcW w:w="1357" w:type="pct"/>
                  <w:vAlign w:val="center"/>
                </w:tcPr>
                <w:p>
                  <w:pPr>
                    <w:autoSpaceDE w:val="0"/>
                    <w:autoSpaceDN w:val="0"/>
                    <w:jc w:val="center"/>
                    <w:rPr>
                      <w:color w:val="auto"/>
                      <w:szCs w:val="21"/>
                      <w:lang w:val="zh-CN" w:bidi="zh-CN"/>
                    </w:rPr>
                  </w:pPr>
                  <w:r>
                    <w:rPr>
                      <w:rFonts w:hint="eastAsia"/>
                      <w:color w:val="auto"/>
                      <w:szCs w:val="21"/>
                      <w:lang w:bidi="zh-CN"/>
                    </w:rPr>
                    <w:t>空气压缩机</w:t>
                  </w:r>
                </w:p>
              </w:tc>
              <w:tc>
                <w:tcPr>
                  <w:tcW w:w="866" w:type="pct"/>
                  <w:vAlign w:val="center"/>
                </w:tcPr>
                <w:p>
                  <w:pPr>
                    <w:autoSpaceDE w:val="0"/>
                    <w:autoSpaceDN w:val="0"/>
                    <w:jc w:val="center"/>
                    <w:rPr>
                      <w:color w:val="auto"/>
                      <w:szCs w:val="21"/>
                      <w:lang w:val="zh-CN" w:bidi="zh-CN"/>
                    </w:rPr>
                  </w:pPr>
                  <w:r>
                    <w:rPr>
                      <w:rFonts w:hint="eastAsia"/>
                      <w:color w:val="auto"/>
                      <w:szCs w:val="21"/>
                      <w:lang w:val="zh-CN" w:bidi="zh-CN"/>
                    </w:rPr>
                    <w:t>生产车间</w:t>
                  </w:r>
                </w:p>
              </w:tc>
              <w:tc>
                <w:tcPr>
                  <w:tcW w:w="807" w:type="pct"/>
                  <w:vAlign w:val="center"/>
                </w:tcPr>
                <w:p>
                  <w:pPr>
                    <w:autoSpaceDE w:val="0"/>
                    <w:autoSpaceDN w:val="0"/>
                    <w:jc w:val="center"/>
                    <w:rPr>
                      <w:color w:val="auto"/>
                      <w:szCs w:val="21"/>
                      <w:lang w:bidi="zh-CN"/>
                    </w:rPr>
                  </w:pPr>
                  <w:r>
                    <w:rPr>
                      <w:rFonts w:hint="eastAsia"/>
                      <w:color w:val="auto"/>
                      <w:szCs w:val="21"/>
                      <w:lang w:bidi="zh-CN"/>
                    </w:rPr>
                    <w:t>1</w:t>
                  </w:r>
                  <w:r>
                    <w:rPr>
                      <w:color w:val="auto"/>
                      <w:szCs w:val="21"/>
                      <w:lang w:bidi="zh-CN"/>
                    </w:rPr>
                    <w:t>台</w:t>
                  </w:r>
                </w:p>
              </w:tc>
              <w:tc>
                <w:tcPr>
                  <w:tcW w:w="807" w:type="pct"/>
                  <w:vAlign w:val="center"/>
                </w:tcPr>
                <w:p>
                  <w:pPr>
                    <w:autoSpaceDE w:val="0"/>
                    <w:autoSpaceDN w:val="0"/>
                    <w:jc w:val="center"/>
                    <w:rPr>
                      <w:color w:val="auto"/>
                      <w:szCs w:val="21"/>
                      <w:lang w:val="zh-CN" w:bidi="zh-CN"/>
                    </w:rPr>
                  </w:pPr>
                  <w:r>
                    <w:rPr>
                      <w:color w:val="auto"/>
                      <w:szCs w:val="21"/>
                      <w:lang w:val="zh-CN" w:bidi="zh-CN"/>
                    </w:rPr>
                    <w:t>连续</w:t>
                  </w:r>
                </w:p>
              </w:tc>
              <w:tc>
                <w:tcPr>
                  <w:tcW w:w="1120" w:type="dxa"/>
                  <w:vAlign w:val="center"/>
                </w:tcPr>
                <w:p>
                  <w:pPr>
                    <w:autoSpaceDE w:val="0"/>
                    <w:autoSpaceDN w:val="0"/>
                    <w:jc w:val="center"/>
                    <w:rPr>
                      <w:rFonts w:hint="default"/>
                      <w:color w:val="auto"/>
                      <w:szCs w:val="21"/>
                      <w:lang w:val="en-US" w:bidi="zh-CN"/>
                    </w:rPr>
                  </w:pPr>
                  <w:r>
                    <w:rPr>
                      <w:rFonts w:hint="eastAsia"/>
                      <w:color w:val="auto"/>
                      <w:szCs w:val="21"/>
                      <w:lang w:val="en-US" w:bidi="zh-CN"/>
                    </w:rPr>
                    <w:t>85</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06" w:hRule="exact"/>
              </w:trPr>
              <w:tc>
                <w:tcPr>
                  <w:tcW w:w="454" w:type="pct"/>
                  <w:vAlign w:val="center"/>
                </w:tcPr>
                <w:p>
                  <w:pPr>
                    <w:autoSpaceDE w:val="0"/>
                    <w:autoSpaceDN w:val="0"/>
                    <w:jc w:val="center"/>
                    <w:rPr>
                      <w:color w:val="auto"/>
                      <w:w w:val="99"/>
                      <w:szCs w:val="21"/>
                      <w:lang w:bidi="zh-CN"/>
                    </w:rPr>
                  </w:pPr>
                  <w:r>
                    <w:rPr>
                      <w:color w:val="auto"/>
                      <w:w w:val="99"/>
                      <w:szCs w:val="21"/>
                      <w:lang w:bidi="zh-CN"/>
                    </w:rPr>
                    <w:t>5</w:t>
                  </w:r>
                </w:p>
              </w:tc>
              <w:tc>
                <w:tcPr>
                  <w:tcW w:w="1357" w:type="pct"/>
                  <w:vAlign w:val="center"/>
                </w:tcPr>
                <w:p>
                  <w:pPr>
                    <w:autoSpaceDE w:val="0"/>
                    <w:autoSpaceDN w:val="0"/>
                    <w:jc w:val="center"/>
                    <w:rPr>
                      <w:color w:val="auto"/>
                      <w:szCs w:val="21"/>
                      <w:lang w:val="zh-CN" w:bidi="zh-CN"/>
                    </w:rPr>
                  </w:pPr>
                  <w:r>
                    <w:rPr>
                      <w:rFonts w:hint="eastAsia"/>
                      <w:color w:val="auto"/>
                      <w:szCs w:val="21"/>
                      <w:lang w:bidi="zh-CN"/>
                    </w:rPr>
                    <w:t>锅炉风机</w:t>
                  </w:r>
                </w:p>
              </w:tc>
              <w:tc>
                <w:tcPr>
                  <w:tcW w:w="866" w:type="pct"/>
                  <w:vAlign w:val="center"/>
                </w:tcPr>
                <w:p>
                  <w:pPr>
                    <w:autoSpaceDE w:val="0"/>
                    <w:autoSpaceDN w:val="0"/>
                    <w:jc w:val="center"/>
                    <w:rPr>
                      <w:color w:val="auto"/>
                      <w:szCs w:val="21"/>
                      <w:lang w:bidi="zh-CN"/>
                    </w:rPr>
                  </w:pPr>
                  <w:r>
                    <w:rPr>
                      <w:rFonts w:hint="eastAsia"/>
                      <w:color w:val="auto"/>
                      <w:szCs w:val="21"/>
                      <w:lang w:bidi="zh-CN"/>
                    </w:rPr>
                    <w:t>锅炉房</w:t>
                  </w:r>
                </w:p>
              </w:tc>
              <w:tc>
                <w:tcPr>
                  <w:tcW w:w="807" w:type="pct"/>
                  <w:vAlign w:val="center"/>
                </w:tcPr>
                <w:p>
                  <w:pPr>
                    <w:autoSpaceDE w:val="0"/>
                    <w:autoSpaceDN w:val="0"/>
                    <w:jc w:val="center"/>
                    <w:rPr>
                      <w:color w:val="auto"/>
                      <w:szCs w:val="21"/>
                      <w:lang w:bidi="zh-CN"/>
                    </w:rPr>
                  </w:pPr>
                  <w:r>
                    <w:rPr>
                      <w:color w:val="auto"/>
                      <w:szCs w:val="21"/>
                      <w:lang w:bidi="zh-CN"/>
                    </w:rPr>
                    <w:t>1台</w:t>
                  </w:r>
                </w:p>
              </w:tc>
              <w:tc>
                <w:tcPr>
                  <w:tcW w:w="807" w:type="pct"/>
                  <w:vAlign w:val="center"/>
                </w:tcPr>
                <w:p>
                  <w:pPr>
                    <w:autoSpaceDE w:val="0"/>
                    <w:autoSpaceDN w:val="0"/>
                    <w:jc w:val="center"/>
                    <w:rPr>
                      <w:color w:val="auto"/>
                      <w:szCs w:val="21"/>
                      <w:lang w:val="zh-CN" w:bidi="zh-CN"/>
                    </w:rPr>
                  </w:pPr>
                  <w:r>
                    <w:rPr>
                      <w:color w:val="auto"/>
                      <w:szCs w:val="21"/>
                      <w:lang w:val="zh-CN" w:bidi="zh-CN"/>
                    </w:rPr>
                    <w:t>连续</w:t>
                  </w:r>
                </w:p>
              </w:tc>
              <w:tc>
                <w:tcPr>
                  <w:tcW w:w="1120" w:type="dxa"/>
                  <w:vAlign w:val="center"/>
                </w:tcPr>
                <w:p>
                  <w:pPr>
                    <w:autoSpaceDE w:val="0"/>
                    <w:autoSpaceDN w:val="0"/>
                    <w:jc w:val="center"/>
                    <w:rPr>
                      <w:rFonts w:hint="default"/>
                      <w:color w:val="auto"/>
                      <w:szCs w:val="21"/>
                      <w:lang w:val="en-US" w:bidi="zh-CN"/>
                    </w:rPr>
                  </w:pPr>
                  <w:r>
                    <w:rPr>
                      <w:rFonts w:hint="eastAsia"/>
                      <w:color w:val="auto"/>
                      <w:szCs w:val="21"/>
                      <w:lang w:val="en-US" w:bidi="zh-CN"/>
                    </w:rPr>
                    <w:t>80</w:t>
                  </w:r>
                </w:p>
              </w:tc>
            </w:tr>
          </w:tbl>
          <w:p>
            <w:pPr>
              <w:spacing w:line="520" w:lineRule="exact"/>
              <w:ind w:firstLine="560" w:firstLineChars="200"/>
              <w:rPr>
                <w:color w:val="auto"/>
                <w:sz w:val="28"/>
                <w:szCs w:val="28"/>
              </w:rPr>
            </w:pPr>
            <w:r>
              <w:rPr>
                <w:color w:val="auto"/>
                <w:sz w:val="28"/>
                <w:szCs w:val="28"/>
              </w:rPr>
              <w:t>厂区中多个噪声源叠加的综合噪声计算公式如下：</w:t>
            </w:r>
          </w:p>
          <w:p>
            <w:pPr>
              <w:spacing w:line="480" w:lineRule="auto"/>
              <w:jc w:val="center"/>
              <w:rPr>
                <w:color w:val="auto"/>
                <w:sz w:val="24"/>
              </w:rPr>
            </w:pPr>
            <w:r>
              <w:rPr>
                <w:color w:val="auto"/>
                <w:position w:val="-30"/>
                <w:sz w:val="24"/>
              </w:rPr>
              <w:pict>
                <v:shape id="_x0000_s1027" o:spid="_x0000_s1027" o:spt="75" type="#_x0000_t75" style="position:absolute;left:0pt;margin-left:117pt;margin-top:2.2pt;height:36.1pt;width:107pt;z-index:251659264;mso-width-relative:page;mso-height-relative:page;" filled="f" o:preferrelative="t" stroked="f" coordsize="21600,21600">
                  <v:path/>
                  <v:fill on="f" focussize="0,0"/>
                  <v:stroke on="f" joinstyle="miter"/>
                  <v:imagedata r:id="rId12" o:title=""/>
                  <o:lock v:ext="edit" aspectratio="t"/>
                </v:shape>
              </w:pict>
            </w:r>
          </w:p>
          <w:p>
            <w:pPr>
              <w:spacing w:before="120" w:beforeLines="50" w:line="520" w:lineRule="exact"/>
              <w:ind w:firstLine="560" w:firstLineChars="200"/>
              <w:rPr>
                <w:color w:val="auto"/>
                <w:sz w:val="28"/>
                <w:szCs w:val="28"/>
              </w:rPr>
            </w:pPr>
            <w:r>
              <w:rPr>
                <w:color w:val="auto"/>
                <w:sz w:val="28"/>
                <w:szCs w:val="28"/>
              </w:rPr>
              <w:t>式中：</w:t>
            </w:r>
            <w:r>
              <w:rPr>
                <w:color w:val="auto"/>
                <w:position w:val="-10"/>
                <w:sz w:val="28"/>
                <w:szCs w:val="28"/>
              </w:rPr>
              <w:object>
                <v:shape id="_x0000_i1025" o:spt="75" type="#_x0000_t75" style="height:17.35pt;width:16pt;" o:ole="t" filled="f" o:preferrelative="t" stroked="f" coordsize="21600,21600">
                  <v:path/>
                  <v:fill on="f" focussize="0,0"/>
                  <v:stroke on="f" joinstyle="miter"/>
                  <v:imagedata r:id="rId14" o:title=""/>
                  <o:lock v:ext="edit" aspectratio="t"/>
                  <w10:wrap type="none"/>
                  <w10:anchorlock/>
                </v:shape>
                <o:OLEObject Type="Embed" ProgID="Equation.3" ShapeID="_x0000_i1025" DrawAspect="Content" ObjectID="_1468075725" r:id="rId13">
                  <o:LockedField>false</o:LockedField>
                </o:OLEObject>
              </w:object>
            </w:r>
            <w:r>
              <w:rPr>
                <w:color w:val="auto"/>
                <w:sz w:val="28"/>
                <w:szCs w:val="28"/>
              </w:rPr>
              <w:t>—多个噪声源叠加的综合噪声声级，dB（A）；</w:t>
            </w:r>
          </w:p>
          <w:p>
            <w:pPr>
              <w:tabs>
                <w:tab w:val="left" w:pos="720"/>
              </w:tabs>
              <w:spacing w:line="520" w:lineRule="exact"/>
              <w:ind w:firstLine="556"/>
              <w:rPr>
                <w:color w:val="auto"/>
                <w:sz w:val="28"/>
                <w:szCs w:val="28"/>
              </w:rPr>
            </w:pPr>
            <w:r>
              <w:rPr>
                <w:color w:val="auto"/>
                <w:position w:val="-12"/>
                <w:sz w:val="28"/>
                <w:szCs w:val="28"/>
              </w:rPr>
              <w:object>
                <v:shape id="_x0000_i1026" o:spt="75" type="#_x0000_t75" style="height:18pt;width:13.35pt;" o:ole="t" filled="f" o:preferrelative="t" stroked="f" coordsize="21600,21600">
                  <v:path/>
                  <v:fill on="f" focussize="0,0"/>
                  <v:stroke on="f" joinstyle="miter"/>
                  <v:imagedata r:id="rId16" o:title=""/>
                  <o:lock v:ext="edit" aspectratio="t"/>
                  <w10:wrap type="none"/>
                  <w10:anchorlock/>
                </v:shape>
                <o:OLEObject Type="Embed" ProgID="Equation.3" ShapeID="_x0000_i1026" DrawAspect="Content" ObjectID="_1468075726" r:id="rId15">
                  <o:LockedField>false</o:LockedField>
                </o:OLEObject>
              </w:object>
            </w:r>
            <w:r>
              <w:rPr>
                <w:color w:val="auto"/>
                <w:sz w:val="28"/>
                <w:szCs w:val="28"/>
              </w:rPr>
              <w:t>—第I个噪声源的声级，dB（A）；</w:t>
            </w:r>
          </w:p>
          <w:p>
            <w:pPr>
              <w:tabs>
                <w:tab w:val="left" w:pos="720"/>
              </w:tabs>
              <w:spacing w:line="520" w:lineRule="exact"/>
              <w:ind w:firstLine="560" w:firstLineChars="200"/>
              <w:rPr>
                <w:color w:val="auto"/>
                <w:sz w:val="28"/>
                <w:szCs w:val="28"/>
              </w:rPr>
            </w:pPr>
            <w:r>
              <w:rPr>
                <w:color w:val="auto"/>
                <w:position w:val="-6"/>
                <w:sz w:val="28"/>
                <w:szCs w:val="28"/>
              </w:rPr>
              <w:object>
                <v:shape id="_x0000_i1027" o:spt="75" type="#_x0000_t75" style="height:11.35pt;width:10pt;" o:ole="t" filled="f" o:preferrelative="t" stroked="f" coordsize="21600,21600">
                  <v:path/>
                  <v:fill on="f" focussize="0,0"/>
                  <v:stroke on="f" joinstyle="miter"/>
                  <v:imagedata r:id="rId18" o:title=""/>
                  <o:lock v:ext="edit" aspectratio="t"/>
                  <w10:wrap type="none"/>
                  <w10:anchorlock/>
                </v:shape>
                <o:OLEObject Type="Embed" ProgID="Equation.3" ShapeID="_x0000_i1027" DrawAspect="Content" ObjectID="_1468075727" r:id="rId17">
                  <o:LockedField>false</o:LockedField>
                </o:OLEObject>
              </w:object>
            </w:r>
            <w:r>
              <w:rPr>
                <w:color w:val="auto"/>
                <w:sz w:val="28"/>
                <w:szCs w:val="28"/>
              </w:rPr>
              <w:t>—噪声源的个数。</w:t>
            </w:r>
          </w:p>
          <w:p>
            <w:pPr>
              <w:spacing w:line="520" w:lineRule="exact"/>
              <w:ind w:firstLine="560" w:firstLineChars="200"/>
              <w:rPr>
                <w:color w:val="auto"/>
                <w:sz w:val="28"/>
                <w:szCs w:val="28"/>
              </w:rPr>
            </w:pPr>
            <w:r>
              <w:rPr>
                <w:color w:val="auto"/>
                <w:sz w:val="28"/>
                <w:szCs w:val="28"/>
              </w:rPr>
              <w:t>根据噪声叠加公式，计算得叠加噪声源强为</w:t>
            </w:r>
            <w:r>
              <w:rPr>
                <w:rFonts w:hint="eastAsia"/>
                <w:color w:val="auto"/>
                <w:sz w:val="28"/>
                <w:szCs w:val="28"/>
                <w:lang w:val="en-US" w:eastAsia="zh-CN"/>
              </w:rPr>
              <w:t>86.7</w:t>
            </w:r>
            <w:r>
              <w:rPr>
                <w:color w:val="auto"/>
                <w:sz w:val="28"/>
                <w:szCs w:val="28"/>
              </w:rPr>
              <w:t>dB（A），项目主要设备噪声源为点源，其向外传播的过程中，r处的A声级计算公式</w:t>
            </w:r>
            <w:r>
              <w:rPr>
                <w:color w:val="auto"/>
                <w:sz w:val="28"/>
              </w:rPr>
              <w:t>：</w:t>
            </w:r>
          </w:p>
          <w:p>
            <w:pPr>
              <w:ind w:firstLine="560" w:firstLineChars="200"/>
              <w:jc w:val="center"/>
              <w:rPr>
                <w:color w:val="auto"/>
                <w:sz w:val="28"/>
                <w:szCs w:val="28"/>
              </w:rPr>
            </w:pPr>
            <w:r>
              <w:rPr>
                <w:color w:val="auto"/>
                <w:position w:val="-14"/>
                <w:sz w:val="28"/>
                <w:szCs w:val="28"/>
              </w:rPr>
              <w:t>L</w:t>
            </w:r>
            <w:r>
              <w:rPr>
                <w:color w:val="auto"/>
                <w:position w:val="-14"/>
                <w:sz w:val="28"/>
                <w:szCs w:val="28"/>
                <w:vertAlign w:val="subscript"/>
              </w:rPr>
              <w:t>A</w:t>
            </w:r>
            <w:r>
              <w:rPr>
                <w:color w:val="auto"/>
                <w:position w:val="-14"/>
                <w:sz w:val="28"/>
                <w:szCs w:val="28"/>
              </w:rPr>
              <w:t>=L</w:t>
            </w:r>
            <w:r>
              <w:rPr>
                <w:color w:val="auto"/>
                <w:position w:val="-14"/>
                <w:sz w:val="28"/>
                <w:szCs w:val="28"/>
                <w:vertAlign w:val="subscript"/>
              </w:rPr>
              <w:t>W</w:t>
            </w:r>
            <w:r>
              <w:rPr>
                <w:color w:val="auto"/>
                <w:position w:val="-14"/>
                <w:sz w:val="28"/>
                <w:szCs w:val="28"/>
              </w:rPr>
              <w:t>-20lgr-8</w:t>
            </w:r>
          </w:p>
          <w:p>
            <w:pPr>
              <w:spacing w:line="520" w:lineRule="exact"/>
              <w:ind w:firstLine="560" w:firstLineChars="200"/>
              <w:rPr>
                <w:color w:val="auto"/>
                <w:sz w:val="28"/>
                <w:szCs w:val="28"/>
              </w:rPr>
            </w:pPr>
            <w:r>
              <w:rPr>
                <w:color w:val="auto"/>
                <w:sz w:val="28"/>
                <w:szCs w:val="28"/>
              </w:rPr>
              <w:t>式中：L</w:t>
            </w:r>
            <w:r>
              <w:rPr>
                <w:color w:val="auto"/>
                <w:sz w:val="28"/>
                <w:szCs w:val="28"/>
                <w:vertAlign w:val="subscript"/>
              </w:rPr>
              <w:t>A</w:t>
            </w:r>
            <w:r>
              <w:rPr>
                <w:color w:val="auto"/>
                <w:sz w:val="28"/>
                <w:szCs w:val="28"/>
              </w:rPr>
              <w:t xml:space="preserve">——距噪声源r处预测点的A声级dB(A)； </w:t>
            </w:r>
          </w:p>
          <w:p>
            <w:pPr>
              <w:spacing w:line="520" w:lineRule="exact"/>
              <w:ind w:firstLine="560" w:firstLineChars="200"/>
              <w:rPr>
                <w:color w:val="auto"/>
                <w:sz w:val="28"/>
                <w:szCs w:val="28"/>
              </w:rPr>
            </w:pPr>
            <w:r>
              <w:rPr>
                <w:color w:val="auto"/>
                <w:sz w:val="28"/>
                <w:szCs w:val="28"/>
              </w:rPr>
              <w:t>L</w:t>
            </w:r>
            <w:r>
              <w:rPr>
                <w:color w:val="auto"/>
                <w:sz w:val="28"/>
                <w:szCs w:val="28"/>
                <w:vertAlign w:val="subscript"/>
              </w:rPr>
              <w:t>W</w:t>
            </w:r>
            <w:r>
              <w:rPr>
                <w:color w:val="auto"/>
                <w:sz w:val="28"/>
                <w:szCs w:val="28"/>
              </w:rPr>
              <w:t xml:space="preserve">——点声源的A声功率级dB(A)； </w:t>
            </w:r>
          </w:p>
          <w:p>
            <w:pPr>
              <w:tabs>
                <w:tab w:val="left" w:pos="720"/>
              </w:tabs>
              <w:spacing w:line="520" w:lineRule="exact"/>
              <w:ind w:firstLine="560" w:firstLineChars="200"/>
              <w:rPr>
                <w:color w:val="auto"/>
                <w:sz w:val="28"/>
                <w:szCs w:val="28"/>
              </w:rPr>
            </w:pPr>
            <w:r>
              <w:rPr>
                <w:color w:val="auto"/>
                <w:sz w:val="28"/>
                <w:szCs w:val="28"/>
              </w:rPr>
              <w:t>r——点声源至预测点的距离m。</w:t>
            </w:r>
          </w:p>
          <w:p>
            <w:pPr>
              <w:tabs>
                <w:tab w:val="left" w:pos="720"/>
              </w:tabs>
              <w:spacing w:line="520" w:lineRule="exact"/>
              <w:ind w:firstLine="560" w:firstLineChars="200"/>
              <w:rPr>
                <w:color w:val="auto"/>
                <w:sz w:val="28"/>
                <w:szCs w:val="28"/>
              </w:rPr>
            </w:pPr>
            <w:r>
              <w:rPr>
                <w:color w:val="auto"/>
                <w:sz w:val="28"/>
                <w:szCs w:val="28"/>
              </w:rPr>
              <w:t>项目区建筑物均采用封闭结构，设备置于室内，房屋墙体具有一定的衰减功能，一般人工设计声屏障可达到5～12dB（A）降噪效果，墙体为一般声屏障，此处墙体降噪取10dB（A），则经过建筑围墙隔声衰减后（不考虑空气衰减）噪声值为</w:t>
            </w:r>
            <w:r>
              <w:rPr>
                <w:rFonts w:hint="eastAsia"/>
                <w:color w:val="auto"/>
                <w:sz w:val="28"/>
                <w:szCs w:val="28"/>
                <w:lang w:val="en-US" w:eastAsia="zh-CN"/>
              </w:rPr>
              <w:t>76.7</w:t>
            </w:r>
            <w:r>
              <w:rPr>
                <w:color w:val="auto"/>
                <w:sz w:val="28"/>
                <w:szCs w:val="28"/>
              </w:rPr>
              <w:t>dB（A）。</w:t>
            </w:r>
          </w:p>
          <w:p>
            <w:pPr>
              <w:spacing w:line="520" w:lineRule="exact"/>
              <w:ind w:firstLine="560" w:firstLineChars="200"/>
              <w:rPr>
                <w:color w:val="auto"/>
                <w:sz w:val="24"/>
              </w:rPr>
            </w:pPr>
            <w:r>
              <w:rPr>
                <w:color w:val="auto"/>
                <w:sz w:val="28"/>
                <w:szCs w:val="28"/>
              </w:rPr>
              <w:t>噪声靠空间距离的自然衰减，其噪声对外界不同距离处的最大噪声贡献预测结果见下表。</w:t>
            </w:r>
          </w:p>
          <w:p>
            <w:pPr>
              <w:ind w:firstLine="480" w:firstLineChars="200"/>
              <w:rPr>
                <w:rFonts w:eastAsia="黑体"/>
                <w:color w:val="auto"/>
                <w:sz w:val="24"/>
              </w:rPr>
            </w:pPr>
            <w:r>
              <w:rPr>
                <w:rFonts w:eastAsia="黑体"/>
                <w:color w:val="auto"/>
                <w:sz w:val="24"/>
              </w:rPr>
              <w:t>表</w:t>
            </w:r>
            <w:r>
              <w:rPr>
                <w:rFonts w:hint="eastAsia" w:eastAsia="黑体"/>
                <w:color w:val="auto"/>
                <w:sz w:val="24"/>
              </w:rPr>
              <w:t>23</w:t>
            </w:r>
            <w:r>
              <w:rPr>
                <w:rFonts w:eastAsia="黑体"/>
                <w:color w:val="auto"/>
                <w:sz w:val="24"/>
              </w:rPr>
              <w:t xml:space="preserve">     机械噪声对外环境的最大贡献预测结果表    单位：dB</w:t>
            </w:r>
            <w:r>
              <w:rPr>
                <w:color w:val="auto"/>
                <w:sz w:val="24"/>
              </w:rPr>
              <w:t>(</w:t>
            </w:r>
            <w:r>
              <w:rPr>
                <w:rFonts w:eastAsia="黑体"/>
                <w:color w:val="auto"/>
                <w:sz w:val="24"/>
              </w:rPr>
              <w:t>A</w:t>
            </w:r>
            <w:r>
              <w:rPr>
                <w:color w:val="auto"/>
                <w:sz w:val="24"/>
              </w:rPr>
              <w:t>)</w:t>
            </w:r>
          </w:p>
          <w:tbl>
            <w:tblPr>
              <w:tblStyle w:val="18"/>
              <w:tblW w:w="4998"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228"/>
              <w:gridCol w:w="1093"/>
              <w:gridCol w:w="927"/>
              <w:gridCol w:w="1168"/>
              <w:gridCol w:w="1168"/>
              <w:gridCol w:w="1168"/>
              <w:gridCol w:w="1173"/>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6" w:hRule="exact"/>
              </w:trPr>
              <w:tc>
                <w:tcPr>
                  <w:tcW w:w="1228" w:type="dxa"/>
                  <w:vAlign w:val="center"/>
                </w:tcPr>
                <w:p>
                  <w:pPr>
                    <w:spacing w:line="240" w:lineRule="auto"/>
                    <w:ind w:firstLine="0" w:firstLineChars="0"/>
                    <w:jc w:val="center"/>
                    <w:rPr>
                      <w:color w:val="auto"/>
                      <w:kern w:val="0"/>
                      <w:szCs w:val="21"/>
                    </w:rPr>
                  </w:pPr>
                  <w:r>
                    <w:rPr>
                      <w:color w:val="auto"/>
                      <w:kern w:val="0"/>
                      <w:sz w:val="21"/>
                      <w:szCs w:val="21"/>
                    </w:rPr>
                    <w:t>不同距离（m）</w:t>
                  </w:r>
                </w:p>
              </w:tc>
              <w:tc>
                <w:tcPr>
                  <w:tcW w:w="689" w:type="pct"/>
                  <w:vAlign w:val="center"/>
                </w:tcPr>
                <w:p>
                  <w:pPr>
                    <w:widowControl/>
                    <w:jc w:val="center"/>
                    <w:rPr>
                      <w:color w:val="auto"/>
                      <w:kern w:val="0"/>
                      <w:szCs w:val="21"/>
                    </w:rPr>
                  </w:pPr>
                  <w:r>
                    <w:rPr>
                      <w:color w:val="auto"/>
                      <w:kern w:val="0"/>
                      <w:szCs w:val="21"/>
                    </w:rPr>
                    <w:t>源强</w:t>
                  </w:r>
                </w:p>
              </w:tc>
              <w:tc>
                <w:tcPr>
                  <w:tcW w:w="3535" w:type="pct"/>
                  <w:gridSpan w:val="5"/>
                  <w:vAlign w:val="center"/>
                </w:tcPr>
                <w:p>
                  <w:pPr>
                    <w:widowControl/>
                    <w:jc w:val="center"/>
                    <w:rPr>
                      <w:color w:val="auto"/>
                      <w:kern w:val="0"/>
                      <w:szCs w:val="21"/>
                    </w:rPr>
                  </w:pPr>
                  <w:r>
                    <w:rPr>
                      <w:color w:val="auto"/>
                      <w:kern w:val="0"/>
                      <w:szCs w:val="21"/>
                    </w:rPr>
                    <w:t>与声源不同距离噪声预测</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6" w:hRule="exact"/>
              </w:trPr>
              <w:tc>
                <w:tcPr>
                  <w:tcW w:w="1228" w:type="dxa"/>
                  <w:vMerge w:val="restart"/>
                  <w:vAlign w:val="center"/>
                </w:tcPr>
                <w:p>
                  <w:pPr>
                    <w:adjustRightInd w:val="0"/>
                    <w:snapToGrid w:val="0"/>
                    <w:spacing w:line="240" w:lineRule="auto"/>
                    <w:ind w:firstLine="0" w:firstLineChars="0"/>
                    <w:jc w:val="center"/>
                    <w:rPr>
                      <w:color w:val="auto"/>
                      <w:kern w:val="0"/>
                      <w:szCs w:val="21"/>
                    </w:rPr>
                  </w:pPr>
                  <w:r>
                    <w:rPr>
                      <w:color w:val="auto"/>
                      <w:kern w:val="0"/>
                      <w:sz w:val="21"/>
                      <w:szCs w:val="21"/>
                    </w:rPr>
                    <w:t>噪声源强</w:t>
                  </w:r>
                </w:p>
              </w:tc>
              <w:tc>
                <w:tcPr>
                  <w:tcW w:w="689" w:type="pct"/>
                  <w:vMerge w:val="restart"/>
                  <w:vAlign w:val="center"/>
                </w:tcPr>
                <w:p>
                  <w:pPr>
                    <w:widowControl/>
                    <w:jc w:val="center"/>
                    <w:rPr>
                      <w:rFonts w:hint="default" w:eastAsia="宋体"/>
                      <w:color w:val="auto"/>
                      <w:kern w:val="0"/>
                      <w:szCs w:val="21"/>
                      <w:lang w:val="en-US" w:eastAsia="zh-CN"/>
                    </w:rPr>
                  </w:pPr>
                  <w:r>
                    <w:rPr>
                      <w:rFonts w:hint="eastAsia"/>
                      <w:color w:val="auto"/>
                      <w:kern w:val="0"/>
                      <w:szCs w:val="21"/>
                      <w:lang w:val="en-US" w:eastAsia="zh-CN"/>
                    </w:rPr>
                    <w:t>76.7</w:t>
                  </w:r>
                </w:p>
              </w:tc>
              <w:tc>
                <w:tcPr>
                  <w:tcW w:w="584" w:type="pct"/>
                  <w:vAlign w:val="center"/>
                </w:tcPr>
                <w:p>
                  <w:pPr>
                    <w:widowControl/>
                    <w:jc w:val="center"/>
                    <w:rPr>
                      <w:color w:val="auto"/>
                      <w:kern w:val="0"/>
                      <w:szCs w:val="21"/>
                    </w:rPr>
                  </w:pPr>
                  <w:r>
                    <w:rPr>
                      <w:color w:val="auto"/>
                      <w:kern w:val="0"/>
                      <w:szCs w:val="21"/>
                    </w:rPr>
                    <w:t>5m</w:t>
                  </w:r>
                </w:p>
              </w:tc>
              <w:tc>
                <w:tcPr>
                  <w:tcW w:w="737" w:type="pct"/>
                  <w:vAlign w:val="center"/>
                </w:tcPr>
                <w:p>
                  <w:pPr>
                    <w:widowControl/>
                    <w:jc w:val="center"/>
                    <w:rPr>
                      <w:color w:val="auto"/>
                      <w:kern w:val="0"/>
                      <w:szCs w:val="21"/>
                    </w:rPr>
                  </w:pPr>
                  <w:r>
                    <w:rPr>
                      <w:color w:val="auto"/>
                      <w:kern w:val="0"/>
                      <w:szCs w:val="21"/>
                    </w:rPr>
                    <w:t>8m</w:t>
                  </w:r>
                </w:p>
              </w:tc>
              <w:tc>
                <w:tcPr>
                  <w:tcW w:w="737" w:type="pct"/>
                  <w:vAlign w:val="center"/>
                </w:tcPr>
                <w:p>
                  <w:pPr>
                    <w:widowControl/>
                    <w:jc w:val="center"/>
                    <w:rPr>
                      <w:color w:val="auto"/>
                      <w:kern w:val="0"/>
                      <w:szCs w:val="21"/>
                    </w:rPr>
                  </w:pPr>
                  <w:r>
                    <w:rPr>
                      <w:color w:val="auto"/>
                      <w:kern w:val="0"/>
                      <w:szCs w:val="21"/>
                    </w:rPr>
                    <w:t>13m</w:t>
                  </w:r>
                </w:p>
              </w:tc>
              <w:tc>
                <w:tcPr>
                  <w:tcW w:w="737" w:type="pct"/>
                  <w:vAlign w:val="center"/>
                </w:tcPr>
                <w:p>
                  <w:pPr>
                    <w:widowControl/>
                    <w:jc w:val="center"/>
                    <w:rPr>
                      <w:color w:val="auto"/>
                      <w:kern w:val="0"/>
                      <w:szCs w:val="21"/>
                    </w:rPr>
                  </w:pPr>
                  <w:r>
                    <w:rPr>
                      <w:color w:val="auto"/>
                      <w:kern w:val="0"/>
                      <w:szCs w:val="21"/>
                    </w:rPr>
                    <w:t>20m</w:t>
                  </w:r>
                </w:p>
              </w:tc>
              <w:tc>
                <w:tcPr>
                  <w:tcW w:w="740" w:type="pct"/>
                  <w:vAlign w:val="center"/>
                </w:tcPr>
                <w:p>
                  <w:pPr>
                    <w:widowControl/>
                    <w:jc w:val="center"/>
                    <w:rPr>
                      <w:color w:val="auto"/>
                      <w:kern w:val="0"/>
                      <w:szCs w:val="21"/>
                    </w:rPr>
                  </w:pPr>
                  <w:r>
                    <w:rPr>
                      <w:color w:val="auto"/>
                      <w:kern w:val="0"/>
                      <w:szCs w:val="21"/>
                    </w:rPr>
                    <w:t>50m</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6" w:hRule="exact"/>
              </w:trPr>
              <w:tc>
                <w:tcPr>
                  <w:tcW w:w="774" w:type="pct"/>
                  <w:vMerge w:val="continue"/>
                  <w:vAlign w:val="center"/>
                </w:tcPr>
                <w:p>
                  <w:pPr>
                    <w:widowControl/>
                    <w:jc w:val="center"/>
                    <w:rPr>
                      <w:color w:val="auto"/>
                      <w:kern w:val="0"/>
                      <w:szCs w:val="21"/>
                    </w:rPr>
                  </w:pPr>
                </w:p>
              </w:tc>
              <w:tc>
                <w:tcPr>
                  <w:tcW w:w="689" w:type="pct"/>
                  <w:vMerge w:val="continue"/>
                  <w:vAlign w:val="center"/>
                </w:tcPr>
                <w:p>
                  <w:pPr>
                    <w:widowControl/>
                    <w:jc w:val="center"/>
                    <w:rPr>
                      <w:color w:val="auto"/>
                      <w:kern w:val="0"/>
                      <w:szCs w:val="21"/>
                    </w:rPr>
                  </w:pPr>
                </w:p>
              </w:tc>
              <w:tc>
                <w:tcPr>
                  <w:tcW w:w="584" w:type="pct"/>
                  <w:vAlign w:val="center"/>
                </w:tcPr>
                <w:p>
                  <w:pPr>
                    <w:widowControl/>
                    <w:jc w:val="center"/>
                    <w:rPr>
                      <w:rFonts w:hint="default" w:eastAsia="宋体"/>
                      <w:color w:val="auto"/>
                      <w:kern w:val="0"/>
                      <w:szCs w:val="21"/>
                      <w:lang w:val="en-US" w:eastAsia="zh-CN"/>
                    </w:rPr>
                  </w:pPr>
                  <w:r>
                    <w:rPr>
                      <w:rFonts w:hint="eastAsia"/>
                      <w:color w:val="auto"/>
                      <w:kern w:val="0"/>
                      <w:szCs w:val="21"/>
                      <w:lang w:val="en-US" w:eastAsia="zh-CN"/>
                    </w:rPr>
                    <w:t>54</w:t>
                  </w:r>
                </w:p>
              </w:tc>
              <w:tc>
                <w:tcPr>
                  <w:tcW w:w="737" w:type="pct"/>
                  <w:vAlign w:val="center"/>
                </w:tcPr>
                <w:p>
                  <w:pPr>
                    <w:widowControl/>
                    <w:jc w:val="center"/>
                    <w:rPr>
                      <w:rFonts w:hint="default" w:eastAsia="宋体"/>
                      <w:color w:val="auto"/>
                      <w:kern w:val="0"/>
                      <w:szCs w:val="21"/>
                      <w:lang w:val="en-US" w:eastAsia="zh-CN"/>
                    </w:rPr>
                  </w:pPr>
                  <w:r>
                    <w:rPr>
                      <w:rFonts w:hint="eastAsia"/>
                      <w:color w:val="auto"/>
                      <w:kern w:val="0"/>
                      <w:szCs w:val="21"/>
                      <w:lang w:val="en-US" w:eastAsia="zh-CN"/>
                    </w:rPr>
                    <w:t>50</w:t>
                  </w:r>
                </w:p>
              </w:tc>
              <w:tc>
                <w:tcPr>
                  <w:tcW w:w="737" w:type="pct"/>
                  <w:vAlign w:val="center"/>
                </w:tcPr>
                <w:p>
                  <w:pPr>
                    <w:widowControl/>
                    <w:tabs>
                      <w:tab w:val="left" w:pos="306"/>
                      <w:tab w:val="center" w:pos="536"/>
                    </w:tabs>
                    <w:jc w:val="center"/>
                    <w:rPr>
                      <w:rFonts w:hint="default" w:eastAsia="宋体"/>
                      <w:color w:val="auto"/>
                      <w:kern w:val="0"/>
                      <w:szCs w:val="21"/>
                      <w:lang w:val="en-US" w:eastAsia="zh-CN"/>
                    </w:rPr>
                  </w:pPr>
                  <w:r>
                    <w:rPr>
                      <w:rFonts w:hint="eastAsia"/>
                      <w:color w:val="auto"/>
                      <w:kern w:val="0"/>
                      <w:szCs w:val="21"/>
                      <w:lang w:val="en-US" w:eastAsia="zh-CN"/>
                    </w:rPr>
                    <w:t>46</w:t>
                  </w:r>
                </w:p>
              </w:tc>
              <w:tc>
                <w:tcPr>
                  <w:tcW w:w="737" w:type="pct"/>
                  <w:vAlign w:val="center"/>
                </w:tcPr>
                <w:p>
                  <w:pPr>
                    <w:widowControl/>
                    <w:jc w:val="center"/>
                    <w:rPr>
                      <w:rFonts w:hint="default" w:eastAsia="宋体"/>
                      <w:color w:val="auto"/>
                      <w:kern w:val="0"/>
                      <w:szCs w:val="21"/>
                      <w:lang w:val="en-US" w:eastAsia="zh-CN"/>
                    </w:rPr>
                  </w:pPr>
                  <w:r>
                    <w:rPr>
                      <w:rFonts w:hint="eastAsia"/>
                      <w:color w:val="auto"/>
                      <w:kern w:val="0"/>
                      <w:szCs w:val="21"/>
                      <w:lang w:val="en-US" w:eastAsia="zh-CN"/>
                    </w:rPr>
                    <w:t>42</w:t>
                  </w:r>
                </w:p>
              </w:tc>
              <w:tc>
                <w:tcPr>
                  <w:tcW w:w="740" w:type="pct"/>
                  <w:vAlign w:val="center"/>
                </w:tcPr>
                <w:p>
                  <w:pPr>
                    <w:widowControl/>
                    <w:jc w:val="center"/>
                    <w:rPr>
                      <w:rFonts w:hint="default" w:eastAsia="宋体"/>
                      <w:color w:val="auto"/>
                      <w:kern w:val="0"/>
                      <w:szCs w:val="21"/>
                      <w:lang w:val="en-US" w:eastAsia="zh-CN"/>
                    </w:rPr>
                  </w:pPr>
                  <w:r>
                    <w:rPr>
                      <w:rFonts w:hint="eastAsia"/>
                      <w:color w:val="auto"/>
                      <w:kern w:val="0"/>
                      <w:szCs w:val="21"/>
                      <w:lang w:val="en-US" w:eastAsia="zh-CN"/>
                    </w:rPr>
                    <w:t>38</w:t>
                  </w:r>
                </w:p>
              </w:tc>
            </w:tr>
          </w:tbl>
          <w:p>
            <w:pPr>
              <w:autoSpaceDE w:val="0"/>
              <w:autoSpaceDN w:val="0"/>
              <w:adjustRightInd w:val="0"/>
              <w:spacing w:line="520" w:lineRule="exact"/>
              <w:ind w:firstLine="560" w:firstLineChars="200"/>
              <w:rPr>
                <w:color w:val="auto"/>
                <w:sz w:val="28"/>
                <w:szCs w:val="28"/>
              </w:rPr>
            </w:pPr>
            <w:r>
              <w:rPr>
                <w:color w:val="auto"/>
                <w:sz w:val="28"/>
                <w:szCs w:val="28"/>
              </w:rPr>
              <w:t>由以上预测结果可知：项目产生的噪声经围墙隔声和自然衰减，</w:t>
            </w:r>
            <w:r>
              <w:rPr>
                <w:rFonts w:hint="eastAsia"/>
                <w:color w:val="auto"/>
                <w:sz w:val="28"/>
                <w:szCs w:val="28"/>
              </w:rPr>
              <w:t>夜间不生产，</w:t>
            </w:r>
            <w:r>
              <w:rPr>
                <w:rFonts w:hint="eastAsia"/>
                <w:color w:val="auto"/>
                <w:sz w:val="28"/>
                <w:szCs w:val="28"/>
                <w:lang w:eastAsia="zh-CN"/>
              </w:rPr>
              <w:t>项目生产车间外</w:t>
            </w:r>
            <w:r>
              <w:rPr>
                <w:rFonts w:hint="eastAsia" w:ascii="Times New Roman" w:hAnsi="Times New Roman"/>
                <w:color w:val="auto"/>
                <w:sz w:val="28"/>
                <w:szCs w:val="28"/>
                <w:lang w:val="en-US" w:eastAsia="zh-CN"/>
              </w:rPr>
              <w:t>5</w:t>
            </w:r>
            <w:r>
              <w:rPr>
                <w:rFonts w:ascii="Times New Roman" w:hAnsi="Times New Roman"/>
                <w:color w:val="auto"/>
                <w:sz w:val="28"/>
                <w:szCs w:val="28"/>
              </w:rPr>
              <w:t>m处可达到《工业企业厂界环境噪声排放标准》</w:t>
            </w:r>
            <w:r>
              <w:rPr>
                <w:rFonts w:ascii="Times New Roman" w:hAnsi="Times New Roman"/>
                <w:bCs/>
                <w:color w:val="auto"/>
                <w:sz w:val="28"/>
              </w:rPr>
              <w:t>（GB12348—2008）标准限值</w:t>
            </w:r>
            <w:r>
              <w:rPr>
                <w:rFonts w:hint="eastAsia"/>
                <w:bCs/>
                <w:color w:val="auto"/>
                <w:sz w:val="28"/>
                <w:lang w:eastAsia="zh-CN"/>
              </w:rPr>
              <w:t>（</w:t>
            </w:r>
            <w:r>
              <w:rPr>
                <w:rFonts w:hint="eastAsia" w:ascii="Times New Roman" w:hAnsi="Times New Roman"/>
                <w:bCs/>
                <w:color w:val="auto"/>
                <w:sz w:val="28"/>
                <w:lang w:val="en-US" w:eastAsia="zh-CN"/>
              </w:rPr>
              <w:t>70</w:t>
            </w:r>
            <w:r>
              <w:rPr>
                <w:rFonts w:ascii="Times New Roman" w:hAnsi="Times New Roman"/>
                <w:color w:val="auto"/>
                <w:sz w:val="28"/>
                <w:szCs w:val="28"/>
              </w:rPr>
              <w:t>dB（A）</w:t>
            </w:r>
            <w:r>
              <w:rPr>
                <w:rFonts w:hint="eastAsia"/>
                <w:bCs/>
                <w:color w:val="auto"/>
                <w:sz w:val="28"/>
                <w:lang w:eastAsia="zh-CN"/>
              </w:rPr>
              <w:t>）</w:t>
            </w:r>
            <w:r>
              <w:rPr>
                <w:rFonts w:hint="eastAsia" w:ascii="Times New Roman" w:hAnsi="Times New Roman"/>
                <w:color w:val="auto"/>
                <w:sz w:val="28"/>
                <w:szCs w:val="28"/>
                <w:lang w:eastAsia="zh-CN"/>
              </w:rPr>
              <w:t>，</w:t>
            </w:r>
            <w:r>
              <w:rPr>
                <w:rFonts w:hint="eastAsia"/>
                <w:color w:val="auto"/>
                <w:sz w:val="28"/>
                <w:szCs w:val="28"/>
                <w:lang w:eastAsia="zh-CN"/>
              </w:rPr>
              <w:t>生产车间距北侧厂界</w:t>
            </w:r>
            <w:r>
              <w:rPr>
                <w:rFonts w:hint="eastAsia"/>
                <w:color w:val="auto"/>
                <w:sz w:val="28"/>
                <w:szCs w:val="28"/>
                <w:lang w:val="en-US" w:eastAsia="zh-CN"/>
              </w:rPr>
              <w:t>20m，距东侧厂界35m，距西侧2m，距南侧厂界5m</w:t>
            </w:r>
            <w:r>
              <w:rPr>
                <w:rFonts w:hint="eastAsia"/>
                <w:color w:val="auto"/>
                <w:sz w:val="28"/>
                <w:szCs w:val="28"/>
                <w:lang w:eastAsia="zh-CN"/>
              </w:rPr>
              <w:t>，噪声经衰减后至西侧厂界不满足标准，但</w:t>
            </w:r>
            <w:r>
              <w:rPr>
                <w:color w:val="auto"/>
                <w:sz w:val="28"/>
                <w:szCs w:val="28"/>
              </w:rPr>
              <w:t>厂界外50m范围内无噪声敏感点</w:t>
            </w:r>
            <w:r>
              <w:rPr>
                <w:rFonts w:hint="eastAsia"/>
                <w:color w:val="auto"/>
                <w:sz w:val="28"/>
                <w:szCs w:val="28"/>
                <w:lang w:eastAsia="zh-CN"/>
              </w:rPr>
              <w:t>，对周边环境影响较小</w:t>
            </w:r>
            <w:r>
              <w:rPr>
                <w:color w:val="auto"/>
                <w:sz w:val="28"/>
                <w:szCs w:val="28"/>
              </w:rPr>
              <w:t>。</w:t>
            </w:r>
          </w:p>
          <w:p>
            <w:pPr>
              <w:autoSpaceDE w:val="0"/>
              <w:autoSpaceDN w:val="0"/>
              <w:adjustRightInd w:val="0"/>
              <w:spacing w:line="520" w:lineRule="exact"/>
              <w:rPr>
                <w:b/>
                <w:bCs/>
                <w:color w:val="auto"/>
                <w:sz w:val="28"/>
                <w:szCs w:val="28"/>
              </w:rPr>
            </w:pPr>
            <w:r>
              <w:rPr>
                <w:b/>
                <w:bCs/>
                <w:color w:val="auto"/>
                <w:sz w:val="28"/>
                <w:szCs w:val="28"/>
              </w:rPr>
              <w:t>3.2噪声监测</w:t>
            </w:r>
          </w:p>
          <w:p>
            <w:pPr>
              <w:autoSpaceDE w:val="0"/>
              <w:autoSpaceDN w:val="0"/>
              <w:adjustRightInd w:val="0"/>
              <w:spacing w:line="520" w:lineRule="exact"/>
              <w:ind w:firstLine="560" w:firstLineChars="200"/>
              <w:rPr>
                <w:color w:val="auto"/>
                <w:sz w:val="28"/>
                <w:szCs w:val="28"/>
              </w:rPr>
            </w:pPr>
            <w:r>
              <w:rPr>
                <w:color w:val="auto"/>
                <w:sz w:val="28"/>
                <w:szCs w:val="28"/>
              </w:rPr>
              <w:t>本项目噪声监测点位布设时应考虑厂区内</w:t>
            </w:r>
            <w:r>
              <w:rPr>
                <w:rFonts w:hint="eastAsia"/>
                <w:color w:val="auto"/>
                <w:sz w:val="28"/>
                <w:szCs w:val="28"/>
              </w:rPr>
              <w:t>发泡机</w:t>
            </w:r>
            <w:r>
              <w:rPr>
                <w:color w:val="auto"/>
                <w:sz w:val="28"/>
                <w:szCs w:val="28"/>
              </w:rPr>
              <w:t>、</w:t>
            </w:r>
            <w:r>
              <w:rPr>
                <w:rFonts w:hint="eastAsia"/>
                <w:color w:val="auto"/>
                <w:sz w:val="28"/>
                <w:szCs w:val="28"/>
              </w:rPr>
              <w:t>板材</w:t>
            </w:r>
            <w:r>
              <w:rPr>
                <w:color w:val="auto"/>
                <w:sz w:val="28"/>
                <w:szCs w:val="28"/>
              </w:rPr>
              <w:t>机、</w:t>
            </w:r>
            <w:r>
              <w:rPr>
                <w:rFonts w:hint="eastAsia"/>
                <w:color w:val="auto"/>
                <w:sz w:val="28"/>
                <w:szCs w:val="28"/>
              </w:rPr>
              <w:t>切割</w:t>
            </w:r>
            <w:r>
              <w:rPr>
                <w:color w:val="auto"/>
                <w:sz w:val="28"/>
                <w:szCs w:val="28"/>
              </w:rPr>
              <w:t>机、</w:t>
            </w:r>
            <w:r>
              <w:rPr>
                <w:rFonts w:hint="eastAsia"/>
                <w:color w:val="auto"/>
                <w:sz w:val="28"/>
                <w:szCs w:val="28"/>
              </w:rPr>
              <w:t>空气压缩</w:t>
            </w:r>
            <w:r>
              <w:rPr>
                <w:color w:val="auto"/>
                <w:sz w:val="28"/>
                <w:szCs w:val="28"/>
              </w:rPr>
              <w:t>机</w:t>
            </w:r>
            <w:r>
              <w:rPr>
                <w:rFonts w:hint="eastAsia"/>
                <w:color w:val="auto"/>
                <w:sz w:val="28"/>
                <w:szCs w:val="28"/>
              </w:rPr>
              <w:t>等</w:t>
            </w:r>
            <w:r>
              <w:rPr>
                <w:color w:val="auto"/>
                <w:sz w:val="28"/>
                <w:szCs w:val="28"/>
              </w:rPr>
              <w:t>的分布情况。厂界噪声监测计划详见下表。</w:t>
            </w:r>
          </w:p>
          <w:p>
            <w:pPr>
              <w:snapToGrid w:val="0"/>
              <w:ind w:firstLine="480" w:firstLineChars="200"/>
              <w:rPr>
                <w:rFonts w:eastAsia="黑体"/>
                <w:bCs/>
                <w:color w:val="auto"/>
                <w:sz w:val="24"/>
                <w:szCs w:val="28"/>
                <w:lang w:val="zh-CN"/>
              </w:rPr>
            </w:pPr>
            <w:r>
              <w:rPr>
                <w:rFonts w:eastAsia="黑体"/>
                <w:bCs/>
                <w:color w:val="auto"/>
                <w:sz w:val="24"/>
                <w:szCs w:val="28"/>
                <w:lang w:val="zh-CN"/>
              </w:rPr>
              <w:t>表</w:t>
            </w:r>
            <w:r>
              <w:rPr>
                <w:rFonts w:hint="eastAsia" w:eastAsia="黑体"/>
                <w:bCs/>
                <w:color w:val="auto"/>
                <w:sz w:val="24"/>
                <w:szCs w:val="28"/>
              </w:rPr>
              <w:t>24</w:t>
            </w:r>
            <w:r>
              <w:rPr>
                <w:rFonts w:eastAsia="黑体"/>
                <w:bCs/>
                <w:color w:val="auto"/>
                <w:sz w:val="24"/>
                <w:szCs w:val="28"/>
              </w:rPr>
              <w:t xml:space="preserve">           </w:t>
            </w:r>
            <w:r>
              <w:rPr>
                <w:rFonts w:eastAsia="黑体"/>
                <w:bCs/>
                <w:color w:val="auto"/>
                <w:sz w:val="24"/>
                <w:szCs w:val="28"/>
                <w:lang w:val="zh-CN"/>
              </w:rPr>
              <w:tab/>
            </w:r>
            <w:r>
              <w:rPr>
                <w:rFonts w:eastAsia="黑体"/>
                <w:bCs/>
                <w:color w:val="auto"/>
                <w:sz w:val="24"/>
                <w:szCs w:val="28"/>
                <w:lang w:val="zh-CN"/>
              </w:rPr>
              <w:t>厂界环境噪声监测内容一览表</w:t>
            </w:r>
          </w:p>
          <w:tbl>
            <w:tblPr>
              <w:tblStyle w:val="18"/>
              <w:tblW w:w="4998" w:type="pct"/>
              <w:tblInd w:w="0" w:type="dxa"/>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Layout w:type="fixed"/>
              <w:tblCellMar>
                <w:top w:w="0" w:type="dxa"/>
                <w:left w:w="0" w:type="dxa"/>
                <w:bottom w:w="0" w:type="dxa"/>
                <w:right w:w="0" w:type="dxa"/>
              </w:tblCellMar>
            </w:tblPr>
            <w:tblGrid>
              <w:gridCol w:w="3550"/>
              <w:gridCol w:w="2265"/>
              <w:gridCol w:w="2110"/>
            </w:tblGrid>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17" w:hRule="atLeast"/>
              </w:trPr>
              <w:tc>
                <w:tcPr>
                  <w:tcW w:w="2239" w:type="pct"/>
                  <w:vAlign w:val="center"/>
                </w:tcPr>
                <w:p>
                  <w:pPr>
                    <w:jc w:val="center"/>
                    <w:rPr>
                      <w:color w:val="auto"/>
                      <w:szCs w:val="21"/>
                      <w:lang w:val="zh-CN"/>
                    </w:rPr>
                  </w:pPr>
                  <w:r>
                    <w:rPr>
                      <w:color w:val="auto"/>
                      <w:szCs w:val="21"/>
                    </w:rPr>
                    <w:t>监测点位</w:t>
                  </w:r>
                </w:p>
              </w:tc>
              <w:tc>
                <w:tcPr>
                  <w:tcW w:w="1429" w:type="pct"/>
                  <w:vAlign w:val="center"/>
                </w:tcPr>
                <w:p>
                  <w:pPr>
                    <w:jc w:val="center"/>
                    <w:rPr>
                      <w:color w:val="auto"/>
                      <w:szCs w:val="21"/>
                      <w:lang w:val="zh-CN"/>
                    </w:rPr>
                  </w:pPr>
                  <w:r>
                    <w:rPr>
                      <w:color w:val="auto"/>
                      <w:szCs w:val="21"/>
                    </w:rPr>
                    <w:t>监测指标</w:t>
                  </w:r>
                </w:p>
              </w:tc>
              <w:tc>
                <w:tcPr>
                  <w:tcW w:w="1331" w:type="pct"/>
                  <w:vAlign w:val="center"/>
                </w:tcPr>
                <w:p>
                  <w:pPr>
                    <w:jc w:val="center"/>
                    <w:rPr>
                      <w:color w:val="auto"/>
                      <w:szCs w:val="21"/>
                      <w:lang w:val="zh-CN"/>
                    </w:rPr>
                  </w:pPr>
                  <w:r>
                    <w:rPr>
                      <w:color w:val="auto"/>
                      <w:szCs w:val="21"/>
                    </w:rPr>
                    <w:t>监测频次</w:t>
                  </w:r>
                </w:p>
              </w:tc>
            </w:tr>
            <w:tr>
              <w:tblPrEx>
                <w:tblBorders>
                  <w:top w:val="single" w:color="000000" w:sz="12" w:space="0"/>
                  <w:left w:val="none" w:color="auto" w:sz="0" w:space="0"/>
                  <w:bottom w:val="single" w:color="000000" w:sz="12" w:space="0"/>
                  <w:right w:val="none" w:color="auto" w:sz="0" w:space="0"/>
                  <w:insideH w:val="single" w:color="000000" w:sz="6" w:space="0"/>
                  <w:insideV w:val="single" w:color="000000" w:sz="6" w:space="0"/>
                </w:tblBorders>
                <w:tblCellMar>
                  <w:top w:w="0" w:type="dxa"/>
                  <w:left w:w="0" w:type="dxa"/>
                  <w:bottom w:w="0" w:type="dxa"/>
                  <w:right w:w="0" w:type="dxa"/>
                </w:tblCellMar>
              </w:tblPrEx>
              <w:trPr>
                <w:trHeight w:val="377" w:hRule="atLeast"/>
              </w:trPr>
              <w:tc>
                <w:tcPr>
                  <w:tcW w:w="2239" w:type="pct"/>
                  <w:vAlign w:val="center"/>
                </w:tcPr>
                <w:p>
                  <w:pPr>
                    <w:autoSpaceDE w:val="0"/>
                    <w:autoSpaceDN w:val="0"/>
                    <w:jc w:val="center"/>
                    <w:rPr>
                      <w:color w:val="auto"/>
                      <w:szCs w:val="21"/>
                      <w:lang w:val="zh-CN" w:bidi="zh-CN"/>
                    </w:rPr>
                  </w:pPr>
                  <w:r>
                    <w:rPr>
                      <w:color w:val="auto"/>
                      <w:szCs w:val="21"/>
                      <w:lang w:val="zh-CN" w:bidi="zh-CN"/>
                    </w:rPr>
                    <w:t>四周厂界外1m处</w:t>
                  </w:r>
                </w:p>
              </w:tc>
              <w:tc>
                <w:tcPr>
                  <w:tcW w:w="1429" w:type="pct"/>
                  <w:vAlign w:val="center"/>
                </w:tcPr>
                <w:p>
                  <w:pPr>
                    <w:autoSpaceDE w:val="0"/>
                    <w:autoSpaceDN w:val="0"/>
                    <w:jc w:val="center"/>
                    <w:rPr>
                      <w:color w:val="auto"/>
                      <w:szCs w:val="21"/>
                      <w:lang w:bidi="zh-CN"/>
                    </w:rPr>
                  </w:pPr>
                  <w:r>
                    <w:rPr>
                      <w:color w:val="auto"/>
                      <w:szCs w:val="21"/>
                      <w:lang w:val="zh-CN" w:bidi="zh-CN"/>
                    </w:rPr>
                    <w:t>等效连续</w:t>
                  </w:r>
                  <w:r>
                    <w:rPr>
                      <w:color w:val="auto"/>
                      <w:szCs w:val="21"/>
                      <w:lang w:bidi="zh-CN"/>
                    </w:rPr>
                    <w:t>A声级</w:t>
                  </w:r>
                </w:p>
              </w:tc>
              <w:tc>
                <w:tcPr>
                  <w:tcW w:w="1331" w:type="pct"/>
                  <w:vAlign w:val="center"/>
                </w:tcPr>
                <w:p>
                  <w:pPr>
                    <w:autoSpaceDE w:val="0"/>
                    <w:autoSpaceDN w:val="0"/>
                    <w:jc w:val="center"/>
                    <w:rPr>
                      <w:color w:val="auto"/>
                      <w:szCs w:val="21"/>
                      <w:lang w:val="zh-CN" w:bidi="zh-CN"/>
                    </w:rPr>
                  </w:pPr>
                  <w:r>
                    <w:rPr>
                      <w:color w:val="auto"/>
                      <w:szCs w:val="21"/>
                      <w:lang w:val="zh-CN" w:bidi="zh-CN"/>
                    </w:rPr>
                    <w:t>季度</w:t>
                  </w:r>
                </w:p>
              </w:tc>
            </w:tr>
          </w:tbl>
          <w:p>
            <w:pPr>
              <w:autoSpaceDE w:val="0"/>
              <w:autoSpaceDN w:val="0"/>
              <w:adjustRightInd w:val="0"/>
              <w:spacing w:line="520" w:lineRule="exact"/>
              <w:ind w:firstLine="562" w:firstLineChars="200"/>
              <w:rPr>
                <w:color w:val="auto"/>
                <w:sz w:val="28"/>
                <w:szCs w:val="28"/>
              </w:rPr>
            </w:pPr>
            <w:r>
              <w:rPr>
                <w:b/>
                <w:bCs/>
                <w:color w:val="auto"/>
                <w:sz w:val="28"/>
                <w:szCs w:val="28"/>
              </w:rPr>
              <w:t>防治措施：</w:t>
            </w:r>
          </w:p>
          <w:p>
            <w:pPr>
              <w:autoSpaceDE w:val="0"/>
              <w:autoSpaceDN w:val="0"/>
              <w:adjustRightInd w:val="0"/>
              <w:spacing w:line="520" w:lineRule="exact"/>
              <w:ind w:firstLine="560" w:firstLineChars="200"/>
              <w:rPr>
                <w:color w:val="auto"/>
                <w:sz w:val="28"/>
                <w:szCs w:val="28"/>
              </w:rPr>
            </w:pPr>
            <w:r>
              <w:rPr>
                <w:color w:val="auto"/>
                <w:sz w:val="28"/>
                <w:szCs w:val="28"/>
              </w:rPr>
              <w:t>（1）从声源上控制，选择低噪声和符合国家噪声标准的设备，采取在振动类设备基座等处设置减振垫、基座加固处理等措施。</w:t>
            </w:r>
          </w:p>
          <w:p>
            <w:pPr>
              <w:autoSpaceDE w:val="0"/>
              <w:autoSpaceDN w:val="0"/>
              <w:adjustRightInd w:val="0"/>
              <w:spacing w:line="520" w:lineRule="exact"/>
              <w:ind w:firstLine="560" w:firstLineChars="200"/>
              <w:rPr>
                <w:color w:val="auto"/>
                <w:sz w:val="28"/>
                <w:szCs w:val="28"/>
              </w:rPr>
            </w:pPr>
            <w:r>
              <w:rPr>
                <w:color w:val="auto"/>
                <w:sz w:val="28"/>
                <w:szCs w:val="28"/>
              </w:rPr>
              <w:t>（2）维持各类设备处于良好的运行状态，避免设备运转不正常时造成厂界噪声超标。</w:t>
            </w:r>
          </w:p>
          <w:p>
            <w:pPr>
              <w:spacing w:line="520" w:lineRule="exact"/>
              <w:rPr>
                <w:b/>
                <w:color w:val="auto"/>
                <w:kern w:val="0"/>
                <w:sz w:val="28"/>
                <w:szCs w:val="28"/>
              </w:rPr>
            </w:pPr>
            <w:r>
              <w:rPr>
                <w:b/>
                <w:color w:val="auto"/>
                <w:kern w:val="0"/>
                <w:sz w:val="28"/>
                <w:szCs w:val="28"/>
              </w:rPr>
              <w:t>4固废</w:t>
            </w:r>
          </w:p>
          <w:p>
            <w:pPr>
              <w:spacing w:line="500" w:lineRule="exact"/>
              <w:ind w:firstLine="560" w:firstLineChars="200"/>
              <w:rPr>
                <w:color w:val="auto"/>
                <w:sz w:val="28"/>
                <w:szCs w:val="28"/>
              </w:rPr>
            </w:pPr>
            <w:r>
              <w:rPr>
                <w:color w:val="auto"/>
                <w:sz w:val="28"/>
                <w:szCs w:val="28"/>
              </w:rPr>
              <w:t>本项目固废的主要来源为</w:t>
            </w:r>
            <w:r>
              <w:rPr>
                <w:rFonts w:hint="eastAsia"/>
                <w:color w:val="auto"/>
                <w:sz w:val="28"/>
                <w:szCs w:val="28"/>
              </w:rPr>
              <w:t>项目</w:t>
            </w:r>
            <w:r>
              <w:rPr>
                <w:color w:val="auto"/>
                <w:sz w:val="28"/>
                <w:szCs w:val="28"/>
              </w:rPr>
              <w:t>工作管理人员产生的生活垃圾</w:t>
            </w:r>
            <w:r>
              <w:rPr>
                <w:rFonts w:hint="eastAsia"/>
                <w:color w:val="auto"/>
                <w:sz w:val="28"/>
                <w:szCs w:val="28"/>
              </w:rPr>
              <w:t>，</w:t>
            </w:r>
            <w:r>
              <w:rPr>
                <w:color w:val="auto"/>
                <w:sz w:val="28"/>
                <w:szCs w:val="28"/>
              </w:rPr>
              <w:t>活性炭吸附装置产生的废活性炭</w:t>
            </w:r>
            <w:r>
              <w:rPr>
                <w:rFonts w:hint="eastAsia"/>
                <w:color w:val="auto"/>
                <w:sz w:val="28"/>
                <w:szCs w:val="28"/>
              </w:rPr>
              <w:t>、废机油和光氧净化装置产生的废灯管等危险废物，</w:t>
            </w:r>
            <w:r>
              <w:rPr>
                <w:color w:val="auto"/>
                <w:sz w:val="28"/>
                <w:szCs w:val="28"/>
              </w:rPr>
              <w:t>板材混料、切割、打包过程中产生的边脚料及不合格</w:t>
            </w:r>
            <w:r>
              <w:rPr>
                <w:rFonts w:hint="eastAsia"/>
                <w:color w:val="auto"/>
                <w:sz w:val="28"/>
                <w:szCs w:val="28"/>
              </w:rPr>
              <w:t>产品等其他固体废物</w:t>
            </w:r>
            <w:r>
              <w:rPr>
                <w:color w:val="auto"/>
                <w:sz w:val="28"/>
                <w:szCs w:val="28"/>
              </w:rPr>
              <w:t>。</w:t>
            </w:r>
          </w:p>
          <w:p>
            <w:pPr>
              <w:spacing w:line="500" w:lineRule="exact"/>
              <w:ind w:firstLine="560" w:firstLineChars="200"/>
              <w:rPr>
                <w:color w:val="auto"/>
                <w:sz w:val="28"/>
                <w:szCs w:val="28"/>
              </w:rPr>
            </w:pPr>
            <w:r>
              <w:rPr>
                <w:color w:val="auto"/>
                <w:sz w:val="28"/>
                <w:szCs w:val="28"/>
              </w:rPr>
              <w:t>（1）生活垃圾</w:t>
            </w:r>
          </w:p>
          <w:p>
            <w:pPr>
              <w:autoSpaceDE w:val="0"/>
              <w:autoSpaceDN w:val="0"/>
              <w:adjustRightInd w:val="0"/>
              <w:spacing w:line="520" w:lineRule="exact"/>
              <w:ind w:firstLine="560" w:firstLineChars="200"/>
              <w:rPr>
                <w:color w:val="auto"/>
                <w:sz w:val="28"/>
                <w:szCs w:val="28"/>
              </w:rPr>
            </w:pPr>
            <w:r>
              <w:rPr>
                <w:color w:val="auto"/>
                <w:sz w:val="28"/>
                <w:szCs w:val="28"/>
              </w:rPr>
              <w:t>本项目劳动定员共计</w:t>
            </w:r>
            <w:r>
              <w:rPr>
                <w:rFonts w:hint="eastAsia"/>
                <w:color w:val="auto"/>
                <w:sz w:val="28"/>
                <w:szCs w:val="28"/>
              </w:rPr>
              <w:t>8</w:t>
            </w:r>
            <w:r>
              <w:rPr>
                <w:color w:val="auto"/>
                <w:sz w:val="28"/>
                <w:szCs w:val="28"/>
              </w:rPr>
              <w:t>人，</w:t>
            </w:r>
            <w:r>
              <w:rPr>
                <w:rFonts w:hint="eastAsia"/>
                <w:color w:val="auto"/>
                <w:sz w:val="28"/>
                <w:szCs w:val="28"/>
                <w:lang w:eastAsia="zh-CN"/>
              </w:rPr>
              <w:t>本项目施工周期为</w:t>
            </w:r>
            <w:r>
              <w:rPr>
                <w:rFonts w:hint="eastAsia"/>
                <w:color w:val="auto"/>
                <w:sz w:val="28"/>
                <w:szCs w:val="28"/>
                <w:lang w:val="en-US" w:eastAsia="zh-CN"/>
              </w:rPr>
              <w:t>210天，</w:t>
            </w:r>
            <w:r>
              <w:rPr>
                <w:color w:val="auto"/>
                <w:sz w:val="28"/>
                <w:szCs w:val="28"/>
              </w:rPr>
              <w:t>根据《环境统计手册》提供的系数，每人每天平均产生</w:t>
            </w:r>
            <w:r>
              <w:rPr>
                <w:rFonts w:hint="eastAsia"/>
                <w:color w:val="auto"/>
                <w:sz w:val="28"/>
                <w:szCs w:val="28"/>
              </w:rPr>
              <w:t>0.5</w:t>
            </w:r>
            <w:r>
              <w:rPr>
                <w:color w:val="auto"/>
                <w:sz w:val="28"/>
                <w:szCs w:val="28"/>
              </w:rPr>
              <w:t>kg生活垃圾，则项目运行期生活垃圾产生量约</w:t>
            </w:r>
            <w:r>
              <w:rPr>
                <w:rFonts w:hint="eastAsia"/>
                <w:color w:val="auto"/>
                <w:sz w:val="28"/>
                <w:szCs w:val="28"/>
              </w:rPr>
              <w:t>0.84</w:t>
            </w:r>
            <w:r>
              <w:rPr>
                <w:color w:val="auto"/>
                <w:sz w:val="28"/>
                <w:szCs w:val="28"/>
              </w:rPr>
              <w:t>t/a。</w:t>
            </w:r>
          </w:p>
          <w:p>
            <w:pPr>
              <w:autoSpaceDE w:val="0"/>
              <w:autoSpaceDN w:val="0"/>
              <w:adjustRightInd w:val="0"/>
              <w:spacing w:line="520" w:lineRule="exact"/>
              <w:ind w:firstLine="560" w:firstLineChars="200"/>
              <w:rPr>
                <w:color w:val="auto"/>
                <w:sz w:val="28"/>
                <w:szCs w:val="28"/>
              </w:rPr>
            </w:pPr>
            <w:r>
              <w:rPr>
                <w:rFonts w:hint="eastAsia"/>
                <w:color w:val="auto"/>
                <w:sz w:val="28"/>
                <w:szCs w:val="28"/>
              </w:rPr>
              <w:t>本项目产生的</w:t>
            </w:r>
            <w:r>
              <w:rPr>
                <w:color w:val="auto"/>
                <w:sz w:val="28"/>
                <w:szCs w:val="28"/>
              </w:rPr>
              <w:t>生活垃圾</w:t>
            </w:r>
            <w:r>
              <w:rPr>
                <w:rFonts w:hint="eastAsia"/>
                <w:color w:val="auto"/>
                <w:sz w:val="28"/>
                <w:szCs w:val="28"/>
                <w:lang w:eastAsia="zh-CN"/>
              </w:rPr>
              <w:t>和切割产生的废边角料</w:t>
            </w:r>
            <w:r>
              <w:rPr>
                <w:rFonts w:hint="eastAsia"/>
                <w:color w:val="auto"/>
                <w:sz w:val="28"/>
                <w:szCs w:val="28"/>
              </w:rPr>
              <w:t>暂存于厂区垃圾箱内，</w:t>
            </w:r>
            <w:r>
              <w:rPr>
                <w:color w:val="auto"/>
                <w:sz w:val="28"/>
                <w:szCs w:val="28"/>
              </w:rPr>
              <w:t>交由</w:t>
            </w:r>
            <w:r>
              <w:rPr>
                <w:rFonts w:hint="eastAsia"/>
                <w:color w:val="auto"/>
                <w:sz w:val="28"/>
                <w:szCs w:val="28"/>
              </w:rPr>
              <w:t>环卫部门统一处理</w:t>
            </w:r>
            <w:r>
              <w:rPr>
                <w:color w:val="auto"/>
                <w:sz w:val="28"/>
                <w:szCs w:val="28"/>
              </w:rPr>
              <w:t>。</w:t>
            </w:r>
          </w:p>
          <w:p>
            <w:pPr>
              <w:spacing w:line="500" w:lineRule="exact"/>
              <w:ind w:firstLine="560" w:firstLineChars="200"/>
              <w:rPr>
                <w:color w:val="auto"/>
                <w:sz w:val="28"/>
                <w:szCs w:val="28"/>
              </w:rPr>
            </w:pPr>
            <w:r>
              <w:rPr>
                <w:color w:val="auto"/>
                <w:sz w:val="28"/>
                <w:szCs w:val="28"/>
              </w:rPr>
              <w:t>（</w:t>
            </w:r>
            <w:r>
              <w:rPr>
                <w:rFonts w:hint="eastAsia"/>
                <w:color w:val="auto"/>
                <w:sz w:val="28"/>
                <w:szCs w:val="28"/>
              </w:rPr>
              <w:t>2</w:t>
            </w:r>
            <w:r>
              <w:rPr>
                <w:color w:val="auto"/>
                <w:sz w:val="28"/>
                <w:szCs w:val="28"/>
              </w:rPr>
              <w:t>）</w:t>
            </w:r>
            <w:r>
              <w:rPr>
                <w:rFonts w:hint="eastAsia"/>
                <w:color w:val="auto"/>
                <w:sz w:val="28"/>
                <w:szCs w:val="28"/>
              </w:rPr>
              <w:t>危险废物</w:t>
            </w:r>
          </w:p>
          <w:p>
            <w:pPr>
              <w:pStyle w:val="17"/>
              <w:spacing w:after="0" w:line="520" w:lineRule="exact"/>
              <w:ind w:left="0" w:leftChars="0" w:firstLine="560"/>
              <w:rPr>
                <w:rFonts w:hint="eastAsia" w:eastAsia="宋体"/>
                <w:lang w:eastAsia="zh-CN"/>
              </w:rPr>
            </w:pPr>
            <w:r>
              <w:rPr>
                <w:rFonts w:hint="eastAsia"/>
                <w:color w:val="auto"/>
                <w:sz w:val="28"/>
                <w:szCs w:val="32"/>
              </w:rPr>
              <w:t>①</w:t>
            </w:r>
            <w:r>
              <w:rPr>
                <w:rFonts w:hint="eastAsia"/>
                <w:color w:val="auto"/>
                <w:sz w:val="28"/>
                <w:szCs w:val="28"/>
              </w:rPr>
              <w:t>废灯管：光氧净化装置使用过程中需定期对其灯管进行更换，以保障装置的处理效果，装置年更换灯管数量</w:t>
            </w:r>
            <w:r>
              <w:rPr>
                <w:color w:val="auto"/>
                <w:sz w:val="28"/>
                <w:szCs w:val="28"/>
              </w:rPr>
              <w:t>20</w:t>
            </w:r>
            <w:r>
              <w:rPr>
                <w:rFonts w:hint="eastAsia"/>
                <w:color w:val="auto"/>
                <w:sz w:val="28"/>
                <w:szCs w:val="28"/>
              </w:rPr>
              <w:t>支。</w:t>
            </w:r>
            <w:r>
              <w:rPr>
                <w:rFonts w:hint="eastAsia"/>
                <w:color w:val="0000E1"/>
                <w:sz w:val="28"/>
              </w:rPr>
              <w:t>灯管需每年更换2次，</w:t>
            </w:r>
            <w:r>
              <w:rPr>
                <w:rFonts w:hint="eastAsia"/>
                <w:color w:val="0000E1"/>
                <w:sz w:val="28"/>
                <w:szCs w:val="28"/>
              </w:rPr>
              <w:t>根据《国家危险废物名录》（2021年版）</w:t>
            </w:r>
            <w:r>
              <w:rPr>
                <w:rFonts w:hint="eastAsia"/>
                <w:color w:val="0000E1"/>
                <w:sz w:val="28"/>
                <w:szCs w:val="28"/>
                <w:lang w:eastAsia="zh-CN"/>
              </w:rPr>
              <w:t>，</w:t>
            </w:r>
            <w:r>
              <w:rPr>
                <w:rFonts w:hint="eastAsia"/>
                <w:color w:val="0000E1"/>
                <w:sz w:val="28"/>
              </w:rPr>
              <w:t>废UV灯管属于危废类别</w:t>
            </w:r>
            <w:r>
              <w:rPr>
                <w:color w:val="0000E1"/>
                <w:sz w:val="28"/>
              </w:rPr>
              <w:t>HW</w:t>
            </w:r>
            <w:r>
              <w:rPr>
                <w:rFonts w:hint="eastAsia"/>
                <w:color w:val="0000E1"/>
                <w:sz w:val="28"/>
              </w:rPr>
              <w:t>29（废物代码</w:t>
            </w:r>
            <w:r>
              <w:rPr>
                <w:color w:val="0000E1"/>
                <w:sz w:val="28"/>
              </w:rPr>
              <w:t>900-0</w:t>
            </w:r>
            <w:r>
              <w:rPr>
                <w:rFonts w:hint="eastAsia"/>
                <w:color w:val="0000E1"/>
                <w:sz w:val="28"/>
              </w:rPr>
              <w:t>23</w:t>
            </w:r>
            <w:r>
              <w:rPr>
                <w:color w:val="0000E1"/>
                <w:sz w:val="28"/>
              </w:rPr>
              <w:t>-</w:t>
            </w:r>
            <w:r>
              <w:rPr>
                <w:rFonts w:hint="eastAsia"/>
                <w:color w:val="0000E1"/>
                <w:sz w:val="28"/>
              </w:rPr>
              <w:t>2</w:t>
            </w:r>
            <w:r>
              <w:rPr>
                <w:color w:val="0000E1"/>
                <w:sz w:val="28"/>
              </w:rPr>
              <w:t>9</w:t>
            </w:r>
            <w:r>
              <w:rPr>
                <w:rFonts w:hint="eastAsia"/>
                <w:color w:val="0000E1"/>
                <w:sz w:val="28"/>
              </w:rPr>
              <w:t>）</w:t>
            </w:r>
            <w:r>
              <w:rPr>
                <w:rFonts w:hint="eastAsia"/>
                <w:color w:val="0000E1"/>
                <w:sz w:val="28"/>
                <w:lang w:eastAsia="zh-CN"/>
              </w:rPr>
              <w:t>。</w:t>
            </w:r>
          </w:p>
          <w:p>
            <w:pPr>
              <w:spacing w:line="520" w:lineRule="exact"/>
              <w:ind w:firstLine="560" w:firstLineChars="200"/>
              <w:rPr>
                <w:color w:val="auto"/>
                <w:sz w:val="28"/>
                <w:szCs w:val="28"/>
              </w:rPr>
            </w:pPr>
            <w:r>
              <w:rPr>
                <w:rFonts w:hint="eastAsia"/>
                <w:color w:val="auto"/>
                <w:sz w:val="28"/>
                <w:szCs w:val="28"/>
              </w:rPr>
              <w:t>②废活性炭：项目产生的有机废气</w:t>
            </w:r>
            <w:r>
              <w:rPr>
                <w:rFonts w:hint="eastAsia"/>
                <w:color w:val="auto"/>
                <w:sz w:val="28"/>
                <w:szCs w:val="28"/>
                <w:lang w:eastAsia="zh-CN"/>
              </w:rPr>
              <w:t>产生</w:t>
            </w:r>
            <w:r>
              <w:rPr>
                <w:rFonts w:hint="eastAsia"/>
                <w:color w:val="auto"/>
                <w:sz w:val="28"/>
                <w:szCs w:val="28"/>
              </w:rPr>
              <w:t>量共计3</w:t>
            </w:r>
            <w:r>
              <w:rPr>
                <w:color w:val="auto"/>
                <w:sz w:val="28"/>
                <w:szCs w:val="28"/>
              </w:rPr>
              <w:t>t/</w:t>
            </w:r>
            <w:r>
              <w:rPr>
                <w:color w:val="0000E1"/>
                <w:sz w:val="28"/>
                <w:szCs w:val="28"/>
              </w:rPr>
              <w:t>a</w:t>
            </w:r>
            <w:r>
              <w:rPr>
                <w:rFonts w:hint="eastAsia"/>
                <w:color w:val="0000E1"/>
                <w:sz w:val="28"/>
                <w:szCs w:val="28"/>
              </w:rPr>
              <w:t>，</w:t>
            </w:r>
            <w:r>
              <w:rPr>
                <w:rFonts w:hint="eastAsia"/>
                <w:color w:val="0000E1"/>
                <w:sz w:val="28"/>
                <w:szCs w:val="28"/>
                <w:lang w:eastAsia="zh-CN"/>
              </w:rPr>
              <w:t>考虑</w:t>
            </w:r>
            <w:r>
              <w:rPr>
                <w:rFonts w:hint="eastAsia"/>
                <w:color w:val="0000E1"/>
                <w:sz w:val="28"/>
                <w:szCs w:val="28"/>
              </w:rPr>
              <w:t>集气罩收集效率挥发性有机物经光催化+活性炭吸附技术处理</w:t>
            </w:r>
            <w:r>
              <w:rPr>
                <w:rFonts w:hint="eastAsia"/>
                <w:color w:val="0000E1"/>
                <w:sz w:val="28"/>
                <w:szCs w:val="28"/>
                <w:lang w:eastAsia="zh-CN"/>
              </w:rPr>
              <w:t>效率为</w:t>
            </w:r>
            <w:r>
              <w:rPr>
                <w:rFonts w:hint="eastAsia"/>
                <w:color w:val="0000E1"/>
                <w:sz w:val="28"/>
                <w:szCs w:val="28"/>
                <w:lang w:val="en-US" w:eastAsia="zh-CN"/>
              </w:rPr>
              <w:t>24%，</w:t>
            </w:r>
            <w:r>
              <w:rPr>
                <w:rFonts w:hint="eastAsia"/>
                <w:color w:val="0000E1"/>
                <w:sz w:val="28"/>
                <w:szCs w:val="28"/>
                <w:lang w:eastAsia="zh-CN"/>
              </w:rPr>
              <w:t>吸附</w:t>
            </w:r>
            <w:r>
              <w:rPr>
                <w:rFonts w:hint="eastAsia"/>
                <w:color w:val="0000E1"/>
                <w:sz w:val="28"/>
                <w:szCs w:val="28"/>
              </w:rPr>
              <w:t>挥发性有机物的量为</w:t>
            </w:r>
            <w:r>
              <w:rPr>
                <w:rFonts w:hint="eastAsia"/>
                <w:color w:val="0000E1"/>
                <w:sz w:val="28"/>
                <w:szCs w:val="28"/>
                <w:lang w:val="en-US" w:eastAsia="zh-CN"/>
              </w:rPr>
              <w:t>1.02</w:t>
            </w:r>
            <w:r>
              <w:rPr>
                <w:color w:val="0000E1"/>
                <w:sz w:val="28"/>
                <w:szCs w:val="28"/>
              </w:rPr>
              <w:t>t/a</w:t>
            </w:r>
            <w:r>
              <w:rPr>
                <w:rFonts w:hint="eastAsia"/>
                <w:color w:val="0000E1"/>
                <w:sz w:val="28"/>
                <w:szCs w:val="28"/>
              </w:rPr>
              <w:t>，</w:t>
            </w:r>
            <w:r>
              <w:rPr>
                <w:rFonts w:hint="eastAsia"/>
                <w:color w:val="0000E1"/>
                <w:sz w:val="28"/>
                <w:szCs w:val="28"/>
                <w:lang w:eastAsia="zh-CN"/>
              </w:rPr>
              <w:t>活性炭使用量与吸附有机物的比例为</w:t>
            </w:r>
            <w:r>
              <w:rPr>
                <w:rFonts w:hint="eastAsia"/>
                <w:color w:val="0000E1"/>
                <w:sz w:val="28"/>
                <w:szCs w:val="28"/>
                <w:lang w:val="en-US" w:eastAsia="zh-CN"/>
              </w:rPr>
              <w:t>1：3，满负荷状态下三月更换一次，</w:t>
            </w:r>
            <w:r>
              <w:rPr>
                <w:rFonts w:hint="eastAsia"/>
                <w:color w:val="0000E1"/>
                <w:sz w:val="28"/>
                <w:szCs w:val="28"/>
              </w:rPr>
              <w:t>计算得年产生废弃活性炭</w:t>
            </w:r>
            <w:r>
              <w:rPr>
                <w:rFonts w:hint="eastAsia"/>
                <w:color w:val="0000E1"/>
                <w:sz w:val="28"/>
                <w:szCs w:val="28"/>
                <w:lang w:val="en-US" w:eastAsia="zh-CN"/>
              </w:rPr>
              <w:t>0.34</w:t>
            </w:r>
            <w:r>
              <w:rPr>
                <w:color w:val="0000E1"/>
                <w:sz w:val="28"/>
                <w:szCs w:val="28"/>
              </w:rPr>
              <w:t>t/a</w:t>
            </w:r>
            <w:r>
              <w:rPr>
                <w:rFonts w:hint="eastAsia"/>
                <w:color w:val="0000E1"/>
                <w:sz w:val="28"/>
                <w:szCs w:val="28"/>
              </w:rPr>
              <w:t>。根据《国家危险废物名录》（2021年版）</w:t>
            </w:r>
            <w:r>
              <w:rPr>
                <w:rFonts w:hint="eastAsia"/>
                <w:color w:val="0000E1"/>
                <w:sz w:val="28"/>
                <w:szCs w:val="28"/>
                <w:lang w:eastAsia="zh-CN"/>
              </w:rPr>
              <w:t>，</w:t>
            </w:r>
            <w:r>
              <w:rPr>
                <w:rFonts w:hint="eastAsia"/>
                <w:color w:val="0000E1"/>
                <w:sz w:val="28"/>
                <w:szCs w:val="28"/>
              </w:rPr>
              <w:t>废活性炭属于危废类别HW49（废物代码900-039-49）；</w:t>
            </w:r>
          </w:p>
          <w:p>
            <w:pPr>
              <w:spacing w:line="520" w:lineRule="exact"/>
              <w:ind w:firstLine="560" w:firstLineChars="200"/>
              <w:rPr>
                <w:rFonts w:ascii="宋体" w:hAnsi="宋体" w:cs="宋体"/>
                <w:color w:val="auto"/>
                <w:kern w:val="0"/>
                <w:sz w:val="28"/>
                <w:szCs w:val="28"/>
                <w:lang w:bidi="ar"/>
              </w:rPr>
            </w:pPr>
            <w:r>
              <w:rPr>
                <w:rFonts w:hint="eastAsia"/>
                <w:color w:val="auto"/>
                <w:sz w:val="28"/>
                <w:szCs w:val="28"/>
              </w:rPr>
              <w:t>③废机油</w:t>
            </w:r>
            <w:r>
              <w:rPr>
                <w:rFonts w:hint="eastAsia"/>
                <w:color w:val="auto"/>
                <w:sz w:val="28"/>
                <w:szCs w:val="28"/>
                <w:lang w:eastAsia="zh-CN"/>
              </w:rPr>
              <w:t>及</w:t>
            </w:r>
            <w:r>
              <w:rPr>
                <w:rFonts w:hint="eastAsia"/>
                <w:color w:val="auto"/>
                <w:sz w:val="28"/>
                <w:szCs w:val="28"/>
              </w:rPr>
              <w:t>废弃含油抹布：</w:t>
            </w:r>
            <w:r>
              <w:rPr>
                <w:rFonts w:hint="eastAsia" w:ascii="宋体" w:hAnsi="宋体" w:cs="宋体"/>
                <w:color w:val="auto"/>
                <w:kern w:val="0"/>
                <w:sz w:val="28"/>
                <w:szCs w:val="28"/>
                <w:lang w:bidi="ar"/>
              </w:rPr>
              <w:t>各生产机械每年进行一次检修，每台设备检修过程中使用机油按</w:t>
            </w:r>
            <w:r>
              <w:rPr>
                <w:color w:val="auto"/>
                <w:kern w:val="0"/>
                <w:sz w:val="28"/>
                <w:szCs w:val="28"/>
                <w:lang w:bidi="ar"/>
              </w:rPr>
              <w:t>0.5kg</w:t>
            </w:r>
            <w:r>
              <w:rPr>
                <w:rFonts w:hint="eastAsia" w:ascii="宋体" w:hAnsi="宋体" w:cs="宋体"/>
                <w:color w:val="auto"/>
                <w:kern w:val="0"/>
                <w:sz w:val="28"/>
                <w:szCs w:val="28"/>
                <w:lang w:bidi="ar"/>
              </w:rPr>
              <w:t>计量，厂区各类机械合计</w:t>
            </w:r>
            <w:r>
              <w:rPr>
                <w:rFonts w:hint="eastAsia"/>
                <w:color w:val="auto"/>
                <w:kern w:val="0"/>
                <w:sz w:val="28"/>
                <w:szCs w:val="28"/>
                <w:lang w:bidi="ar"/>
              </w:rPr>
              <w:t>19</w:t>
            </w:r>
            <w:r>
              <w:rPr>
                <w:rFonts w:hint="eastAsia" w:ascii="宋体" w:hAnsi="宋体" w:cs="宋体"/>
                <w:color w:val="auto"/>
                <w:kern w:val="0"/>
                <w:sz w:val="28"/>
                <w:szCs w:val="28"/>
                <w:lang w:bidi="ar"/>
              </w:rPr>
              <w:t>台，则产生废机油量为</w:t>
            </w:r>
            <w:r>
              <w:rPr>
                <w:rFonts w:hint="eastAsia"/>
                <w:color w:val="auto"/>
                <w:sz w:val="28"/>
                <w:szCs w:val="28"/>
              </w:rPr>
              <w:t>0.0095</w:t>
            </w:r>
            <w:r>
              <w:rPr>
                <w:color w:val="auto"/>
                <w:sz w:val="28"/>
                <w:szCs w:val="28"/>
              </w:rPr>
              <w:t>t/a</w:t>
            </w:r>
            <w:r>
              <w:rPr>
                <w:rFonts w:hint="eastAsia" w:ascii="宋体" w:hAnsi="宋体" w:cs="宋体"/>
                <w:color w:val="auto"/>
                <w:kern w:val="0"/>
                <w:sz w:val="28"/>
                <w:szCs w:val="28"/>
                <w:lang w:bidi="ar"/>
              </w:rPr>
              <w:t>。</w:t>
            </w:r>
            <w:r>
              <w:rPr>
                <w:rFonts w:hint="eastAsia"/>
                <w:color w:val="auto"/>
                <w:sz w:val="28"/>
                <w:szCs w:val="28"/>
              </w:rPr>
              <w:t>生产过程及机械检修过程中产生的含油抹布的产生量为0.001</w:t>
            </w:r>
            <w:r>
              <w:rPr>
                <w:color w:val="auto"/>
                <w:sz w:val="28"/>
                <w:szCs w:val="28"/>
              </w:rPr>
              <w:t>t/a</w:t>
            </w:r>
            <w:r>
              <w:rPr>
                <w:rFonts w:hint="eastAsia" w:ascii="宋体" w:hAnsi="宋体" w:cs="宋体"/>
                <w:color w:val="auto"/>
                <w:kern w:val="0"/>
                <w:sz w:val="28"/>
                <w:szCs w:val="28"/>
                <w:lang w:bidi="ar"/>
              </w:rPr>
              <w:t>。</w:t>
            </w:r>
            <w:r>
              <w:rPr>
                <w:rFonts w:hint="eastAsia"/>
                <w:color w:val="0000E1"/>
                <w:sz w:val="28"/>
                <w:szCs w:val="28"/>
              </w:rPr>
              <w:t>根据《国家危险废物名录》（2021年版）</w:t>
            </w:r>
            <w:r>
              <w:rPr>
                <w:rFonts w:hint="eastAsia" w:ascii="Times New Roman" w:hAnsi="Times New Roman" w:eastAsia="宋体" w:cs="Times New Roman"/>
                <w:color w:val="0000E1"/>
                <w:sz w:val="28"/>
                <w:lang w:val="en-US" w:eastAsia="zh-CN"/>
              </w:rPr>
              <w:t>，废机油属于危废类别为HW08，废物代码为900-201-08。</w:t>
            </w:r>
          </w:p>
          <w:p>
            <w:pPr>
              <w:spacing w:line="520" w:lineRule="exact"/>
              <w:ind w:firstLine="560" w:firstLineChars="200"/>
              <w:rPr>
                <w:color w:val="auto"/>
                <w:sz w:val="28"/>
                <w:szCs w:val="28"/>
              </w:rPr>
            </w:pPr>
            <w:r>
              <w:rPr>
                <w:rFonts w:hint="eastAsia"/>
                <w:color w:val="auto"/>
                <w:sz w:val="28"/>
                <w:szCs w:val="28"/>
              </w:rPr>
              <w:t>危险废物按照《危险废物贮存污染控制标准》（GB18597—2001及2013修改单）设置贮存场所，并设置危险废物标识，建立危废五联单。</w:t>
            </w:r>
          </w:p>
          <w:p>
            <w:pPr>
              <w:spacing w:line="520" w:lineRule="exact"/>
              <w:ind w:firstLine="560" w:firstLineChars="200"/>
              <w:rPr>
                <w:color w:val="auto"/>
                <w:kern w:val="0"/>
                <w:sz w:val="28"/>
                <w:szCs w:val="28"/>
              </w:rPr>
            </w:pPr>
            <w:r>
              <w:rPr>
                <w:rFonts w:hint="eastAsia"/>
                <w:color w:val="auto"/>
                <w:kern w:val="0"/>
                <w:sz w:val="28"/>
                <w:szCs w:val="28"/>
              </w:rPr>
              <w:t>项目产生危废均交由资质单位进行处置，仅在项目区暂存。</w:t>
            </w:r>
          </w:p>
          <w:p>
            <w:pPr>
              <w:spacing w:line="500" w:lineRule="exact"/>
              <w:ind w:firstLine="560" w:firstLineChars="200"/>
              <w:rPr>
                <w:color w:val="auto"/>
                <w:sz w:val="28"/>
                <w:szCs w:val="28"/>
              </w:rPr>
            </w:pPr>
            <w:r>
              <w:rPr>
                <w:color w:val="auto"/>
                <w:sz w:val="28"/>
                <w:szCs w:val="28"/>
              </w:rPr>
              <w:t>（</w:t>
            </w:r>
            <w:r>
              <w:rPr>
                <w:rFonts w:hint="eastAsia"/>
                <w:color w:val="auto"/>
                <w:sz w:val="28"/>
                <w:szCs w:val="28"/>
              </w:rPr>
              <w:t>3</w:t>
            </w:r>
            <w:r>
              <w:rPr>
                <w:color w:val="auto"/>
                <w:sz w:val="28"/>
                <w:szCs w:val="28"/>
              </w:rPr>
              <w:t>）</w:t>
            </w:r>
            <w:r>
              <w:rPr>
                <w:rFonts w:hint="eastAsia"/>
                <w:color w:val="auto"/>
                <w:sz w:val="28"/>
                <w:szCs w:val="28"/>
              </w:rPr>
              <w:t>其他固体废物</w:t>
            </w:r>
          </w:p>
          <w:p>
            <w:pPr>
              <w:pStyle w:val="17"/>
              <w:spacing w:after="0" w:line="520" w:lineRule="exact"/>
              <w:ind w:left="0" w:leftChars="0" w:firstLine="560"/>
              <w:rPr>
                <w:color w:val="auto"/>
                <w:sz w:val="28"/>
                <w:szCs w:val="28"/>
              </w:rPr>
            </w:pPr>
            <w:r>
              <w:rPr>
                <w:color w:val="auto"/>
                <w:sz w:val="28"/>
                <w:szCs w:val="28"/>
              </w:rPr>
              <w:t>板材混料、切割、打包过程中产生的边脚料及不合格</w:t>
            </w:r>
            <w:r>
              <w:rPr>
                <w:rFonts w:hint="eastAsia"/>
                <w:color w:val="auto"/>
                <w:sz w:val="28"/>
                <w:szCs w:val="28"/>
              </w:rPr>
              <w:t>产品：产出的不能回用的不合格产品率约占产品总量0.002%，则不能回用的不合格产品产生量为0.002t/a。</w:t>
            </w:r>
          </w:p>
          <w:p>
            <w:pPr>
              <w:pStyle w:val="17"/>
              <w:spacing w:after="0" w:line="520" w:lineRule="exact"/>
              <w:ind w:left="0" w:leftChars="0" w:firstLine="560"/>
              <w:rPr>
                <w:color w:val="auto"/>
                <w:sz w:val="28"/>
                <w:szCs w:val="28"/>
              </w:rPr>
            </w:pPr>
            <w:r>
              <w:rPr>
                <w:color w:val="auto"/>
                <w:sz w:val="28"/>
                <w:szCs w:val="28"/>
              </w:rPr>
              <w:t>边角料和部分可回用的不合格产品经破碎后回用于生产，废包装材料以及边角料中不能回用于生产的，全部卖给废品回收厂家，不外排。</w:t>
            </w:r>
          </w:p>
          <w:p>
            <w:pPr>
              <w:autoSpaceDE w:val="0"/>
              <w:autoSpaceDN w:val="0"/>
              <w:adjustRightInd w:val="0"/>
              <w:spacing w:line="520" w:lineRule="exact"/>
              <w:ind w:firstLine="560" w:firstLineChars="200"/>
              <w:rPr>
                <w:color w:val="auto"/>
                <w:sz w:val="28"/>
                <w:szCs w:val="28"/>
              </w:rPr>
            </w:pPr>
            <w:r>
              <w:rPr>
                <w:color w:val="auto"/>
                <w:sz w:val="28"/>
                <w:szCs w:val="28"/>
              </w:rPr>
              <w:t>综上所述采取相应措施后固体废弃物对环境影响不大。</w:t>
            </w:r>
          </w:p>
          <w:p>
            <w:pPr>
              <w:spacing w:line="520" w:lineRule="exact"/>
              <w:outlineLvl w:val="2"/>
              <w:rPr>
                <w:b/>
                <w:bCs/>
                <w:color w:val="auto"/>
                <w:sz w:val="28"/>
                <w:szCs w:val="32"/>
              </w:rPr>
            </w:pPr>
            <w:r>
              <w:rPr>
                <w:rFonts w:hint="eastAsia"/>
                <w:b/>
                <w:bCs/>
                <w:color w:val="auto"/>
                <w:sz w:val="28"/>
                <w:szCs w:val="32"/>
              </w:rPr>
              <w:t>5</w:t>
            </w:r>
            <w:r>
              <w:rPr>
                <w:b/>
                <w:bCs/>
                <w:color w:val="auto"/>
                <w:sz w:val="28"/>
                <w:szCs w:val="32"/>
              </w:rPr>
              <w:t>环境风险</w:t>
            </w:r>
          </w:p>
          <w:p>
            <w:pPr>
              <w:spacing w:line="520" w:lineRule="exact"/>
              <w:ind w:firstLine="560" w:firstLineChars="200"/>
              <w:rPr>
                <w:color w:val="auto"/>
                <w:sz w:val="28"/>
              </w:rPr>
            </w:pPr>
            <w:r>
              <w:rPr>
                <w:color w:val="auto"/>
                <w:sz w:val="28"/>
              </w:rPr>
              <w:t>本项目所使用的原料为可发性聚苯乙烯颗粒，产品为EPS苯板，原料及产品均具有易燃特性，因此生产过程中存在火灾、爆炸风险事故的可能性。</w:t>
            </w:r>
          </w:p>
          <w:p>
            <w:pPr>
              <w:spacing w:line="520" w:lineRule="exact"/>
              <w:outlineLvl w:val="2"/>
              <w:rPr>
                <w:rFonts w:hint="eastAsia" w:eastAsia="宋体"/>
                <w:b/>
                <w:bCs/>
                <w:color w:val="auto"/>
                <w:sz w:val="28"/>
                <w:szCs w:val="32"/>
                <w:lang w:eastAsia="zh-CN"/>
              </w:rPr>
            </w:pPr>
            <w:r>
              <w:rPr>
                <w:rFonts w:hint="eastAsia"/>
                <w:b/>
                <w:bCs/>
                <w:color w:val="auto"/>
                <w:sz w:val="28"/>
                <w:szCs w:val="32"/>
                <w:lang w:val="en-US" w:eastAsia="zh-CN"/>
              </w:rPr>
              <w:t>5</w:t>
            </w:r>
            <w:r>
              <w:rPr>
                <w:b/>
                <w:bCs/>
                <w:color w:val="auto"/>
                <w:sz w:val="28"/>
                <w:szCs w:val="32"/>
              </w:rPr>
              <w:t>.1风险</w:t>
            </w:r>
            <w:r>
              <w:rPr>
                <w:rFonts w:hint="eastAsia"/>
                <w:b/>
                <w:bCs/>
                <w:color w:val="auto"/>
                <w:sz w:val="28"/>
                <w:szCs w:val="32"/>
                <w:lang w:eastAsia="zh-CN"/>
              </w:rPr>
              <w:t>潜势判定</w:t>
            </w:r>
          </w:p>
          <w:p>
            <w:pPr>
              <w:spacing w:line="520" w:lineRule="exact"/>
              <w:ind w:firstLine="560" w:firstLineChars="200"/>
              <w:rPr>
                <w:color w:val="0000E1"/>
                <w:sz w:val="28"/>
              </w:rPr>
            </w:pPr>
            <w:r>
              <w:rPr>
                <w:rFonts w:hint="eastAsia"/>
                <w:color w:val="0000E1"/>
                <w:sz w:val="28"/>
                <w:lang w:eastAsia="zh-CN"/>
              </w:rPr>
              <w:t>本项目位于巩留工业园区内，周边环境不敏感，本项目生产过程中不涉及《建设项目环境风险评价技术导则（发布稿）》（HJ169—2018）附录B中的重点关注危险物质，即q1为0，因此直接判定本项目环境风险潜势为Ⅰ</w:t>
            </w:r>
            <w:r>
              <w:rPr>
                <w:rFonts w:hint="eastAsia"/>
                <w:color w:val="0000E1"/>
                <w:sz w:val="28"/>
              </w:rPr>
              <w:t>，即低于三级评价要求，开展简单分析。</w:t>
            </w:r>
          </w:p>
          <w:p>
            <w:pPr>
              <w:spacing w:line="520" w:lineRule="exact"/>
              <w:outlineLvl w:val="2"/>
              <w:rPr>
                <w:b/>
                <w:bCs/>
                <w:color w:val="auto"/>
                <w:sz w:val="28"/>
                <w:szCs w:val="32"/>
              </w:rPr>
            </w:pPr>
            <w:r>
              <w:rPr>
                <w:rFonts w:hint="eastAsia"/>
                <w:b/>
                <w:bCs/>
                <w:color w:val="auto"/>
                <w:sz w:val="28"/>
                <w:szCs w:val="32"/>
                <w:lang w:val="en-US" w:eastAsia="zh-CN"/>
              </w:rPr>
              <w:t>5</w:t>
            </w:r>
            <w:r>
              <w:rPr>
                <w:b/>
                <w:bCs/>
                <w:color w:val="auto"/>
                <w:sz w:val="28"/>
                <w:szCs w:val="32"/>
              </w:rPr>
              <w:t>.</w:t>
            </w:r>
            <w:r>
              <w:rPr>
                <w:rFonts w:hint="eastAsia"/>
                <w:b/>
                <w:bCs/>
                <w:color w:val="auto"/>
                <w:sz w:val="28"/>
                <w:szCs w:val="32"/>
                <w:lang w:val="en-US" w:eastAsia="zh-CN"/>
              </w:rPr>
              <w:t>2</w:t>
            </w:r>
            <w:r>
              <w:rPr>
                <w:b/>
                <w:bCs/>
                <w:color w:val="auto"/>
                <w:sz w:val="28"/>
                <w:szCs w:val="32"/>
              </w:rPr>
              <w:t>风险识别</w:t>
            </w:r>
          </w:p>
          <w:p>
            <w:pPr>
              <w:spacing w:line="520" w:lineRule="exact"/>
              <w:ind w:firstLine="560" w:firstLineChars="200"/>
              <w:rPr>
                <w:color w:val="auto"/>
                <w:sz w:val="28"/>
              </w:rPr>
            </w:pPr>
            <w:r>
              <w:rPr>
                <w:color w:val="auto"/>
                <w:sz w:val="28"/>
              </w:rPr>
              <w:t>（1）</w:t>
            </w:r>
            <w:r>
              <w:rPr>
                <w:rFonts w:hint="eastAsia"/>
                <w:color w:val="auto"/>
                <w:sz w:val="28"/>
              </w:rPr>
              <w:t>物质风险</w:t>
            </w:r>
          </w:p>
          <w:p>
            <w:pPr>
              <w:spacing w:line="520" w:lineRule="exact"/>
              <w:ind w:firstLine="560" w:firstLineChars="200"/>
              <w:rPr>
                <w:color w:val="auto"/>
                <w:sz w:val="28"/>
              </w:rPr>
            </w:pPr>
            <w:r>
              <w:rPr>
                <w:color w:val="auto"/>
                <w:sz w:val="28"/>
              </w:rPr>
              <w:t>①</w:t>
            </w:r>
            <w:r>
              <w:rPr>
                <w:rFonts w:hint="eastAsia"/>
                <w:color w:val="auto"/>
                <w:sz w:val="28"/>
              </w:rPr>
              <w:t>EPS及EPS制品</w:t>
            </w:r>
          </w:p>
          <w:p>
            <w:pPr>
              <w:spacing w:line="520" w:lineRule="exact"/>
              <w:ind w:firstLine="560" w:firstLineChars="200"/>
              <w:rPr>
                <w:color w:val="auto"/>
                <w:sz w:val="28"/>
              </w:rPr>
            </w:pPr>
            <w:r>
              <w:rPr>
                <w:rFonts w:hint="eastAsia"/>
                <w:color w:val="auto"/>
                <w:sz w:val="28"/>
              </w:rPr>
              <w:t>EPS（可发性聚苯乙烯）是一种有机碳氢混合物，加上其本身发泡后的多孔状态，以及含有残留石油气，所以一般的EPS及EPS制品是一种易燃物品，可以被火点燃，燃烧时发光，即使离开火焰仍然继续燃烧并有浓烟和熔融颗粒。自燃和外部点燃的温度分别是490℃和296℃。未加阻燃剂的普通EPS泡沫归类为易燃类，遇火即燃烧，而且火焰迅速蔓延到整个表面，如果有足够的氧气，并且烟雾被排出，则EPS将完全燃烧。</w:t>
            </w:r>
          </w:p>
          <w:p>
            <w:pPr>
              <w:spacing w:line="520" w:lineRule="exact"/>
              <w:ind w:firstLine="560" w:firstLineChars="200"/>
              <w:rPr>
                <w:color w:val="auto"/>
                <w:sz w:val="28"/>
              </w:rPr>
            </w:pPr>
            <w:r>
              <w:rPr>
                <w:rFonts w:hint="eastAsia"/>
                <w:color w:val="auto"/>
                <w:sz w:val="28"/>
              </w:rPr>
              <w:t>EPS泡沫塑料在冒烟微燃和燃烧时所放出的气体与任何其他有机物质燃烧所散发的气体有相同的毒害，冒烟和燃烧的EPS所放出的气体对人体健康的危害要小于普通建筑材料</w:t>
            </w:r>
            <w:r>
              <w:rPr>
                <w:rFonts w:hint="eastAsia"/>
                <w:color w:val="auto"/>
                <w:sz w:val="28"/>
                <w:lang w:eastAsia="zh-CN"/>
              </w:rPr>
              <w:t>（</w:t>
            </w:r>
            <w:r>
              <w:rPr>
                <w:rFonts w:hint="eastAsia"/>
                <w:color w:val="auto"/>
                <w:sz w:val="28"/>
              </w:rPr>
              <w:t>如纤维板和软木</w:t>
            </w:r>
            <w:r>
              <w:rPr>
                <w:rFonts w:hint="eastAsia"/>
                <w:color w:val="auto"/>
                <w:sz w:val="28"/>
                <w:lang w:eastAsia="zh-CN"/>
              </w:rPr>
              <w:t>）</w:t>
            </w:r>
            <w:r>
              <w:rPr>
                <w:rFonts w:hint="eastAsia"/>
                <w:color w:val="auto"/>
                <w:sz w:val="28"/>
              </w:rPr>
              <w:t>在燃烧时热分解产物中所放出的气体对人体所产生的危害。</w:t>
            </w:r>
          </w:p>
          <w:p>
            <w:pPr>
              <w:spacing w:line="520" w:lineRule="exact"/>
              <w:ind w:firstLine="560" w:firstLineChars="200"/>
              <w:rPr>
                <w:color w:val="auto"/>
                <w:sz w:val="28"/>
              </w:rPr>
            </w:pPr>
            <w:r>
              <w:rPr>
                <w:rFonts w:hint="eastAsia"/>
                <w:color w:val="auto"/>
                <w:sz w:val="28"/>
              </w:rPr>
              <w:t>②戊烷</w:t>
            </w:r>
          </w:p>
          <w:p>
            <w:pPr>
              <w:spacing w:line="520" w:lineRule="exact"/>
              <w:ind w:firstLine="560" w:firstLineChars="200"/>
              <w:rPr>
                <w:color w:val="auto"/>
              </w:rPr>
            </w:pPr>
            <w:r>
              <w:rPr>
                <w:rFonts w:hint="eastAsia"/>
                <w:color w:val="auto"/>
                <w:sz w:val="28"/>
              </w:rPr>
              <w:t>根据《戊烷发泡剂》（GB/T22053-2008），戊烷发泡剂是极为易燃品，其中蒸气和空气可形成爆炸性混合物，遇明火、高热极易燃烧爆炸。与氧化剂接触发生强烈反应，甚至引起燃烧。液体比水轻，不溶于水，可随水漂流扩散到远处，遇明火即引起燃烧。在火场中，受热的容器有爆炸危险。戊烷发泡剂属低毒性化学品。健康危害主要表现在：高浓度可引起眼与呼吸道黏膜轻度刺激症状和麻醉状态，甚至意识丧失，慢性作用是眼和呼吸道的轻度刺激，可引起轻度皮炎。在本项目中，戊烷以液态形式存在于EPS珠粒里，在EPS苯板生产加工过程中会有部分戊烷逸散出，戊烷气体约比空气重2.5倍，当戊烷气体与空气的混合体积比为1.4%-8.3%时易燃，此范围的混合物可以用低强度火源点燃。</w:t>
            </w:r>
          </w:p>
          <w:p>
            <w:pPr>
              <w:spacing w:line="520" w:lineRule="exact"/>
              <w:ind w:firstLine="560" w:firstLineChars="200"/>
              <w:rPr>
                <w:color w:val="auto"/>
                <w:sz w:val="28"/>
              </w:rPr>
            </w:pPr>
            <w:r>
              <w:rPr>
                <w:rFonts w:hint="eastAsia"/>
                <w:color w:val="auto"/>
                <w:sz w:val="28"/>
              </w:rPr>
              <w:t>（2）生产过程风险识别</w:t>
            </w:r>
          </w:p>
          <w:p>
            <w:pPr>
              <w:spacing w:line="520" w:lineRule="exact"/>
              <w:ind w:firstLine="560" w:firstLineChars="200"/>
              <w:rPr>
                <w:rFonts w:hint="eastAsia"/>
                <w:color w:val="auto"/>
                <w:sz w:val="28"/>
              </w:rPr>
            </w:pPr>
            <w:r>
              <w:rPr>
                <w:rFonts w:hint="eastAsia"/>
                <w:color w:val="auto"/>
                <w:sz w:val="28"/>
              </w:rPr>
              <w:t>生产过程中的火灾危险性体现在：</w:t>
            </w:r>
          </w:p>
          <w:p>
            <w:pPr>
              <w:spacing w:line="520" w:lineRule="exact"/>
              <w:ind w:firstLine="560" w:firstLineChars="200"/>
              <w:rPr>
                <w:rFonts w:hint="eastAsia"/>
                <w:color w:val="auto"/>
                <w:sz w:val="28"/>
                <w:lang w:eastAsia="zh-CN"/>
              </w:rPr>
            </w:pPr>
            <w:r>
              <w:rPr>
                <w:rFonts w:hint="eastAsia"/>
                <w:color w:val="auto"/>
                <w:sz w:val="28"/>
              </w:rPr>
              <w:t>一是发泡剂挥发，戊烷蒸气积聚</w:t>
            </w:r>
            <w:r>
              <w:rPr>
                <w:rFonts w:hint="eastAsia"/>
                <w:color w:val="auto"/>
                <w:sz w:val="28"/>
                <w:lang w:eastAsia="zh-CN"/>
              </w:rPr>
              <w:t>；</w:t>
            </w:r>
          </w:p>
          <w:p>
            <w:pPr>
              <w:spacing w:line="520" w:lineRule="exact"/>
              <w:ind w:firstLine="560" w:firstLineChars="200"/>
              <w:rPr>
                <w:rFonts w:hint="eastAsia"/>
                <w:color w:val="auto"/>
                <w:sz w:val="28"/>
              </w:rPr>
            </w:pPr>
            <w:r>
              <w:rPr>
                <w:rFonts w:hint="eastAsia"/>
                <w:color w:val="auto"/>
                <w:sz w:val="28"/>
              </w:rPr>
              <w:t>二是静电积聚，放电引起闪火。</w:t>
            </w:r>
          </w:p>
          <w:p>
            <w:pPr>
              <w:spacing w:line="520" w:lineRule="exact"/>
              <w:outlineLvl w:val="2"/>
              <w:rPr>
                <w:rFonts w:hint="eastAsia" w:ascii="Times New Roman" w:hAnsi="Times New Roman" w:eastAsia="宋体" w:cs="Times New Roman"/>
                <w:b/>
                <w:bCs/>
                <w:color w:val="auto"/>
                <w:sz w:val="28"/>
                <w:szCs w:val="32"/>
                <w:lang w:val="en-US" w:eastAsia="zh-CN"/>
              </w:rPr>
            </w:pPr>
            <w:r>
              <w:rPr>
                <w:rFonts w:hint="eastAsia" w:ascii="Times New Roman" w:hAnsi="Times New Roman" w:eastAsia="宋体" w:cs="Times New Roman"/>
                <w:b/>
                <w:bCs/>
                <w:color w:val="auto"/>
                <w:sz w:val="28"/>
                <w:szCs w:val="32"/>
                <w:lang w:val="en-US" w:eastAsia="zh-CN"/>
              </w:rPr>
              <w:t>5.</w:t>
            </w:r>
            <w:r>
              <w:rPr>
                <w:rFonts w:hint="eastAsia" w:cs="Times New Roman"/>
                <w:b/>
                <w:bCs/>
                <w:color w:val="auto"/>
                <w:sz w:val="28"/>
                <w:szCs w:val="32"/>
                <w:lang w:val="en-US" w:eastAsia="zh-CN"/>
              </w:rPr>
              <w:t>3</w:t>
            </w:r>
            <w:r>
              <w:rPr>
                <w:rFonts w:hint="eastAsia" w:ascii="Times New Roman" w:hAnsi="Times New Roman" w:eastAsia="宋体" w:cs="Times New Roman"/>
                <w:b/>
                <w:bCs/>
                <w:color w:val="auto"/>
                <w:sz w:val="28"/>
                <w:szCs w:val="32"/>
                <w:lang w:val="en-US" w:eastAsia="zh-CN"/>
              </w:rPr>
              <w:t>风险防范措施</w:t>
            </w:r>
          </w:p>
          <w:p>
            <w:pPr>
              <w:spacing w:line="520" w:lineRule="exact"/>
              <w:ind w:firstLine="560" w:firstLineChars="200"/>
              <w:rPr>
                <w:color w:val="auto"/>
                <w:sz w:val="28"/>
              </w:rPr>
            </w:pPr>
            <w:r>
              <w:rPr>
                <w:rFonts w:hint="eastAsia"/>
                <w:color w:val="auto"/>
                <w:sz w:val="28"/>
              </w:rPr>
              <w:t>在发生火灾爆炸事故时，如消防液通过下水系统流入项目区附近将会对项目区附近的人民生产、生活造成污染影响。因此，必须制定相应的风险防范措施。</w:t>
            </w:r>
          </w:p>
          <w:p>
            <w:pPr>
              <w:spacing w:line="520" w:lineRule="exact"/>
              <w:ind w:firstLine="560" w:firstLineChars="200"/>
              <w:rPr>
                <w:color w:val="auto"/>
                <w:sz w:val="28"/>
              </w:rPr>
            </w:pPr>
            <w:r>
              <w:rPr>
                <w:rFonts w:hint="eastAsia"/>
                <w:color w:val="auto"/>
                <w:sz w:val="28"/>
                <w:lang w:eastAsia="zh-CN"/>
              </w:rPr>
              <w:t>（</w:t>
            </w:r>
            <w:r>
              <w:rPr>
                <w:rFonts w:hint="eastAsia"/>
                <w:color w:val="auto"/>
                <w:sz w:val="28"/>
                <w:lang w:val="en-US" w:eastAsia="zh-CN"/>
              </w:rPr>
              <w:t>1</w:t>
            </w:r>
            <w:r>
              <w:rPr>
                <w:rFonts w:hint="eastAsia"/>
                <w:color w:val="auto"/>
                <w:sz w:val="28"/>
                <w:lang w:eastAsia="zh-CN"/>
              </w:rPr>
              <w:t>）</w:t>
            </w:r>
            <w:r>
              <w:rPr>
                <w:rFonts w:hint="eastAsia"/>
                <w:color w:val="auto"/>
                <w:sz w:val="28"/>
              </w:rPr>
              <w:t>当本项目发生火灾爆炸事故的消防液外排时，应及时采取相应措施，将风险事故的影响范围控制在最小的范围，避免对附近人民生产、生活造成污染影响；</w:t>
            </w:r>
          </w:p>
          <w:p>
            <w:pPr>
              <w:spacing w:line="520" w:lineRule="exact"/>
              <w:ind w:firstLine="560" w:firstLineChars="200"/>
              <w:rPr>
                <w:color w:val="auto"/>
                <w:sz w:val="28"/>
              </w:rPr>
            </w:pPr>
            <w:r>
              <w:rPr>
                <w:rFonts w:hint="eastAsia"/>
                <w:color w:val="auto"/>
                <w:sz w:val="28"/>
                <w:lang w:eastAsia="zh-CN"/>
              </w:rPr>
              <w:t>（</w:t>
            </w:r>
            <w:r>
              <w:rPr>
                <w:rFonts w:hint="eastAsia"/>
                <w:color w:val="auto"/>
                <w:sz w:val="28"/>
                <w:lang w:val="en-US" w:eastAsia="zh-CN"/>
              </w:rPr>
              <w:t>2</w:t>
            </w:r>
            <w:r>
              <w:rPr>
                <w:rFonts w:hint="eastAsia"/>
                <w:color w:val="auto"/>
                <w:sz w:val="28"/>
                <w:lang w:eastAsia="zh-CN"/>
              </w:rPr>
              <w:t>）</w:t>
            </w:r>
            <w:r>
              <w:rPr>
                <w:rFonts w:hint="eastAsia"/>
                <w:color w:val="auto"/>
                <w:sz w:val="28"/>
              </w:rPr>
              <w:t>事故发生后应及时报生态环境主管部门和环境监测部门开展事故应急监测。</w:t>
            </w:r>
          </w:p>
          <w:p>
            <w:pPr>
              <w:spacing w:line="520" w:lineRule="exact"/>
              <w:ind w:firstLine="560" w:firstLineChars="200"/>
              <w:rPr>
                <w:color w:val="auto"/>
                <w:sz w:val="28"/>
              </w:rPr>
            </w:pPr>
            <w:r>
              <w:rPr>
                <w:rFonts w:hint="eastAsia"/>
                <w:color w:val="auto"/>
                <w:sz w:val="28"/>
                <w:lang w:eastAsia="zh-CN"/>
              </w:rPr>
              <w:t>（</w:t>
            </w:r>
            <w:r>
              <w:rPr>
                <w:rFonts w:hint="eastAsia"/>
                <w:color w:val="auto"/>
                <w:sz w:val="28"/>
                <w:lang w:val="en-US" w:eastAsia="zh-CN"/>
              </w:rPr>
              <w:t>3</w:t>
            </w:r>
            <w:r>
              <w:rPr>
                <w:rFonts w:hint="eastAsia"/>
                <w:color w:val="auto"/>
                <w:sz w:val="28"/>
                <w:lang w:eastAsia="zh-CN"/>
              </w:rPr>
              <w:t>）</w:t>
            </w:r>
            <w:r>
              <w:rPr>
                <w:rFonts w:hint="eastAsia"/>
                <w:color w:val="auto"/>
                <w:sz w:val="28"/>
              </w:rPr>
              <w:t>环境风险应急预案</w:t>
            </w:r>
          </w:p>
          <w:p>
            <w:pPr>
              <w:spacing w:line="520" w:lineRule="exact"/>
              <w:ind w:firstLine="560" w:firstLineChars="200"/>
              <w:rPr>
                <w:color w:val="auto"/>
                <w:sz w:val="28"/>
              </w:rPr>
            </w:pPr>
            <w:r>
              <w:rPr>
                <w:rFonts w:hint="eastAsia"/>
                <w:color w:val="auto"/>
                <w:sz w:val="28"/>
              </w:rPr>
              <w:t>制定风险事故应急预案的目的：事故的应急预案是根据工程风险源风险分析，制定的防止事故发生和减少事故发生的损失的计划，建立健全突发环境事件应急机制，提高本项目应对涉及公共危机的突发环境事件的能力，维护社会稳定，保障职工生命健康和财产安全，将污染突发事件对人员、财产和环境造成的损失降至最小程度，促进本厂全面、协调、可持续发展。应急预案的主要内容见下表。</w:t>
            </w:r>
          </w:p>
          <w:p>
            <w:pPr>
              <w:autoSpaceDE w:val="0"/>
              <w:autoSpaceDN w:val="0"/>
              <w:adjustRightInd w:val="0"/>
              <w:ind w:firstLine="480" w:firstLineChars="200"/>
              <w:textAlignment w:val="baseline"/>
              <w:rPr>
                <w:rFonts w:eastAsia="黑体"/>
                <w:color w:val="auto"/>
                <w:kern w:val="0"/>
                <w:sz w:val="24"/>
                <w:szCs w:val="20"/>
              </w:rPr>
            </w:pPr>
            <w:r>
              <w:rPr>
                <w:rFonts w:eastAsia="黑体"/>
                <w:color w:val="auto"/>
                <w:kern w:val="0"/>
                <w:sz w:val="24"/>
                <w:szCs w:val="20"/>
              </w:rPr>
              <w:t>表</w:t>
            </w:r>
            <w:r>
              <w:rPr>
                <w:rFonts w:hint="eastAsia" w:eastAsia="黑体"/>
                <w:color w:val="auto"/>
                <w:kern w:val="0"/>
                <w:sz w:val="24"/>
                <w:szCs w:val="20"/>
              </w:rPr>
              <w:t>25</w:t>
            </w:r>
            <w:r>
              <w:rPr>
                <w:rFonts w:eastAsia="黑体"/>
                <w:color w:val="auto"/>
                <w:kern w:val="0"/>
                <w:sz w:val="24"/>
                <w:szCs w:val="20"/>
              </w:rPr>
              <w:t xml:space="preserve">             应急预案内容</w:t>
            </w:r>
          </w:p>
          <w:tbl>
            <w:tblPr>
              <w:tblStyle w:val="18"/>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136"/>
              <w:gridCol w:w="508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序号</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项目</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内容及要求</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1</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应急计划区</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危险目标：</w:t>
                  </w:r>
                  <w:r>
                    <w:rPr>
                      <w:rFonts w:hint="eastAsia"/>
                      <w:color w:val="auto"/>
                      <w:kern w:val="0"/>
                      <w:szCs w:val="20"/>
                    </w:rPr>
                    <w:t>厂内生态</w:t>
                  </w:r>
                  <w:r>
                    <w:rPr>
                      <w:color w:val="auto"/>
                      <w:kern w:val="0"/>
                      <w:szCs w:val="20"/>
                    </w:rPr>
                    <w:t>环境保护目标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2</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应急组织机构、人员</w:t>
                  </w:r>
                </w:p>
              </w:tc>
              <w:tc>
                <w:tcPr>
                  <w:tcW w:w="5085" w:type="dxa"/>
                  <w:vAlign w:val="center"/>
                </w:tcPr>
                <w:p>
                  <w:pPr>
                    <w:autoSpaceDE w:val="0"/>
                    <w:autoSpaceDN w:val="0"/>
                    <w:adjustRightInd w:val="0"/>
                    <w:jc w:val="center"/>
                    <w:textAlignment w:val="baseline"/>
                    <w:rPr>
                      <w:color w:val="auto"/>
                      <w:kern w:val="0"/>
                      <w:szCs w:val="20"/>
                    </w:rPr>
                  </w:pPr>
                  <w:r>
                    <w:rPr>
                      <w:rFonts w:hint="eastAsia"/>
                      <w:color w:val="auto"/>
                      <w:kern w:val="0"/>
                      <w:szCs w:val="20"/>
                    </w:rPr>
                    <w:t>厂内</w:t>
                  </w:r>
                  <w:r>
                    <w:rPr>
                      <w:color w:val="auto"/>
                      <w:kern w:val="0"/>
                      <w:szCs w:val="20"/>
                    </w:rPr>
                    <w:t>应急组织机构、人员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3</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预案分级响应条件</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 xml:space="preserve">规定预案的级别及分级响应程序 </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4</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应急救援保障</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应急设施，设备与器材等</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5</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报警、通讯联络方式</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规定应急状态下的报警通讯方式、通知方式和交通保障、管制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6</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应急环境监测、抢险、救援及控制措施</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由专业队伍负责对事故现场进行侦察监测，对事故性质、参数与后果进行评估，为指挥部门提供决策依据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7</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应急检测、防护措施、清除泄漏措施和器材</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事故现场、邻近区域、控制防火区域，控制和清除污染措施及相应设备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8</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人员紧急撤离、疏散，应急剂量控制、撤离组织计划</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事故现场、</w:t>
                  </w:r>
                  <w:r>
                    <w:rPr>
                      <w:rFonts w:hint="eastAsia"/>
                      <w:color w:val="auto"/>
                      <w:kern w:val="0"/>
                      <w:szCs w:val="20"/>
                    </w:rPr>
                    <w:t>厂区</w:t>
                  </w:r>
                  <w:r>
                    <w:rPr>
                      <w:color w:val="auto"/>
                      <w:kern w:val="0"/>
                      <w:szCs w:val="20"/>
                    </w:rPr>
                    <w:t>邻近区、受事故影响的区域人员及公众对毒物应急剂量控制规定，撤离组织计划及救护，医疗救护与公众健康</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9</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事故应急救援关闭程序与恢复措施</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规定应急状态终止程序事故现场善后处理，恢复措施邻近区域解除事故警戒及善后恢复措施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10</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应急培训计划</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应急计划制定后，平时安排人员培训与演练</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04" w:type="dxa"/>
                  <w:vAlign w:val="center"/>
                </w:tcPr>
                <w:p>
                  <w:pPr>
                    <w:autoSpaceDE w:val="0"/>
                    <w:autoSpaceDN w:val="0"/>
                    <w:adjustRightInd w:val="0"/>
                    <w:jc w:val="center"/>
                    <w:textAlignment w:val="baseline"/>
                    <w:rPr>
                      <w:color w:val="auto"/>
                      <w:kern w:val="0"/>
                      <w:szCs w:val="20"/>
                    </w:rPr>
                  </w:pPr>
                  <w:r>
                    <w:rPr>
                      <w:color w:val="auto"/>
                      <w:kern w:val="0"/>
                      <w:szCs w:val="20"/>
                    </w:rPr>
                    <w:t>11</w:t>
                  </w:r>
                </w:p>
              </w:tc>
              <w:tc>
                <w:tcPr>
                  <w:tcW w:w="2136" w:type="dxa"/>
                  <w:vAlign w:val="center"/>
                </w:tcPr>
                <w:p>
                  <w:pPr>
                    <w:autoSpaceDE w:val="0"/>
                    <w:autoSpaceDN w:val="0"/>
                    <w:adjustRightInd w:val="0"/>
                    <w:jc w:val="center"/>
                    <w:textAlignment w:val="baseline"/>
                    <w:rPr>
                      <w:color w:val="auto"/>
                      <w:kern w:val="0"/>
                      <w:szCs w:val="20"/>
                    </w:rPr>
                  </w:pPr>
                  <w:r>
                    <w:rPr>
                      <w:color w:val="auto"/>
                      <w:kern w:val="0"/>
                      <w:szCs w:val="20"/>
                    </w:rPr>
                    <w:t>公众教育和信息</w:t>
                  </w:r>
                </w:p>
              </w:tc>
              <w:tc>
                <w:tcPr>
                  <w:tcW w:w="5085" w:type="dxa"/>
                  <w:vAlign w:val="center"/>
                </w:tcPr>
                <w:p>
                  <w:pPr>
                    <w:autoSpaceDE w:val="0"/>
                    <w:autoSpaceDN w:val="0"/>
                    <w:adjustRightInd w:val="0"/>
                    <w:jc w:val="center"/>
                    <w:textAlignment w:val="baseline"/>
                    <w:rPr>
                      <w:color w:val="auto"/>
                      <w:kern w:val="0"/>
                      <w:szCs w:val="20"/>
                    </w:rPr>
                  </w:pPr>
                  <w:r>
                    <w:rPr>
                      <w:color w:val="auto"/>
                      <w:kern w:val="0"/>
                      <w:szCs w:val="20"/>
                    </w:rPr>
                    <w:t>对</w:t>
                  </w:r>
                  <w:r>
                    <w:rPr>
                      <w:rFonts w:hint="eastAsia"/>
                      <w:color w:val="auto"/>
                      <w:kern w:val="0"/>
                      <w:szCs w:val="20"/>
                    </w:rPr>
                    <w:t>工厂邻近地区</w:t>
                  </w:r>
                  <w:r>
                    <w:rPr>
                      <w:color w:val="auto"/>
                      <w:kern w:val="0"/>
                      <w:szCs w:val="20"/>
                    </w:rPr>
                    <w:t>开展公众教育、培训和发布有关信息</w:t>
                  </w:r>
                </w:p>
              </w:tc>
            </w:tr>
          </w:tbl>
          <w:p>
            <w:pPr>
              <w:autoSpaceDE w:val="0"/>
              <w:autoSpaceDN w:val="0"/>
              <w:adjustRightInd w:val="0"/>
              <w:ind w:firstLine="480" w:firstLineChars="200"/>
              <w:textAlignment w:val="baseline"/>
              <w:rPr>
                <w:rFonts w:ascii="Times New Roman" w:hAnsi="Times New Roman" w:eastAsia="黑体" w:cs="Times New Roman"/>
                <w:color w:val="auto"/>
                <w:kern w:val="0"/>
                <w:sz w:val="24"/>
                <w:szCs w:val="20"/>
              </w:rPr>
            </w:pPr>
            <w:r>
              <w:rPr>
                <w:rFonts w:hint="eastAsia" w:ascii="Times New Roman" w:hAnsi="Times New Roman" w:eastAsia="黑体" w:cs="Times New Roman"/>
                <w:color w:val="auto"/>
                <w:kern w:val="0"/>
                <w:sz w:val="24"/>
                <w:szCs w:val="20"/>
                <w:lang w:eastAsia="zh-CN"/>
              </w:rPr>
              <w:t>表</w:t>
            </w:r>
            <w:r>
              <w:rPr>
                <w:rFonts w:hint="eastAsia" w:ascii="Times New Roman" w:hAnsi="Times New Roman" w:eastAsia="黑体" w:cs="Times New Roman"/>
                <w:color w:val="auto"/>
                <w:kern w:val="0"/>
                <w:sz w:val="24"/>
                <w:szCs w:val="20"/>
                <w:lang w:val="en-US" w:eastAsia="zh-CN"/>
              </w:rPr>
              <w:t>26</w:t>
            </w:r>
            <w:r>
              <w:rPr>
                <w:rFonts w:ascii="Times New Roman" w:hAnsi="Times New Roman" w:eastAsia="黑体" w:cs="Times New Roman"/>
                <w:color w:val="auto"/>
                <w:kern w:val="0"/>
                <w:sz w:val="24"/>
                <w:szCs w:val="20"/>
              </w:rPr>
              <w:t xml:space="preserve">     </w:t>
            </w:r>
            <w:r>
              <w:rPr>
                <w:rFonts w:hint="eastAsia" w:ascii="Times New Roman" w:hAnsi="Times New Roman" w:eastAsia="黑体" w:cs="Times New Roman"/>
                <w:color w:val="auto"/>
                <w:kern w:val="0"/>
                <w:sz w:val="24"/>
                <w:szCs w:val="20"/>
                <w:lang w:val="en-US" w:eastAsia="zh-CN"/>
              </w:rPr>
              <w:t xml:space="preserve">    </w:t>
            </w:r>
            <w:r>
              <w:rPr>
                <w:rFonts w:ascii="Times New Roman" w:hAnsi="Times New Roman" w:eastAsia="黑体" w:cs="Times New Roman"/>
                <w:color w:val="auto"/>
                <w:kern w:val="0"/>
                <w:sz w:val="24"/>
                <w:szCs w:val="20"/>
              </w:rPr>
              <w:t xml:space="preserve"> </w:t>
            </w:r>
            <w:r>
              <w:rPr>
                <w:rFonts w:hint="eastAsia" w:ascii="Times New Roman" w:hAnsi="Times New Roman" w:eastAsia="黑体" w:cs="Times New Roman"/>
                <w:color w:val="auto"/>
                <w:kern w:val="0"/>
                <w:sz w:val="24"/>
                <w:szCs w:val="20"/>
              </w:rPr>
              <w:t xml:space="preserve"> </w:t>
            </w:r>
            <w:r>
              <w:rPr>
                <w:rFonts w:ascii="Times New Roman" w:hAnsi="Times New Roman" w:eastAsia="黑体" w:cs="Times New Roman"/>
                <w:color w:val="auto"/>
                <w:kern w:val="0"/>
                <w:sz w:val="24"/>
                <w:szCs w:val="20"/>
              </w:rPr>
              <w:t xml:space="preserve">    </w:t>
            </w:r>
            <w:r>
              <w:rPr>
                <w:rFonts w:hint="eastAsia" w:ascii="Times New Roman" w:hAnsi="Times New Roman" w:eastAsia="黑体" w:cs="Times New Roman"/>
                <w:color w:val="auto"/>
                <w:kern w:val="0"/>
                <w:sz w:val="24"/>
                <w:szCs w:val="20"/>
              </w:rPr>
              <w:t>项目</w:t>
            </w:r>
            <w:r>
              <w:rPr>
                <w:rFonts w:ascii="Times New Roman" w:hAnsi="Times New Roman" w:eastAsia="黑体" w:cs="Times New Roman"/>
                <w:color w:val="auto"/>
                <w:kern w:val="0"/>
                <w:sz w:val="24"/>
                <w:szCs w:val="20"/>
              </w:rPr>
              <w:t>环境风险简单分析内容表</w:t>
            </w:r>
          </w:p>
          <w:tbl>
            <w:tblPr>
              <w:tblStyle w:val="18"/>
              <w:tblW w:w="4998"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0" w:type="dxa"/>
                <w:bottom w:w="0" w:type="dxa"/>
                <w:right w:w="0" w:type="dxa"/>
              </w:tblCellMar>
            </w:tblPr>
            <w:tblGrid>
              <w:gridCol w:w="1921"/>
              <w:gridCol w:w="1072"/>
              <w:gridCol w:w="1911"/>
              <w:gridCol w:w="1189"/>
              <w:gridCol w:w="1833"/>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11" w:type="pct"/>
                  <w:tcBorders>
                    <w:tl2br w:val="nil"/>
                    <w:tr2bl w:val="nil"/>
                  </w:tcBorders>
                  <w:vAlign w:val="center"/>
                </w:tcPr>
                <w:p>
                  <w:pPr>
                    <w:pStyle w:val="56"/>
                    <w:bidi w:val="0"/>
                    <w:rPr>
                      <w:color w:val="auto"/>
                    </w:rPr>
                  </w:pPr>
                  <w:r>
                    <w:rPr>
                      <w:color w:val="auto"/>
                    </w:rPr>
                    <w:t>建设项目名称</w:t>
                  </w:r>
                </w:p>
              </w:tc>
              <w:tc>
                <w:tcPr>
                  <w:tcW w:w="3788" w:type="pct"/>
                  <w:gridSpan w:val="4"/>
                  <w:tcBorders>
                    <w:tl2br w:val="nil"/>
                    <w:tr2bl w:val="nil"/>
                  </w:tcBorders>
                  <w:vAlign w:val="center"/>
                </w:tcPr>
                <w:p>
                  <w:pPr>
                    <w:pStyle w:val="56"/>
                    <w:bidi w:val="0"/>
                    <w:rPr>
                      <w:rFonts w:hint="eastAsia" w:ascii="Times New Roman" w:hAnsi="Times New Roman" w:eastAsia="宋体" w:cs="Times New Roman"/>
                      <w:color w:val="auto"/>
                      <w:lang w:eastAsia="zh-CN"/>
                    </w:rPr>
                  </w:pPr>
                  <w:r>
                    <w:rPr>
                      <w:rFonts w:hint="eastAsia" w:ascii="Times New Roman" w:hAnsi="Times New Roman" w:eastAsia="宋体" w:cs="Times New Roman"/>
                      <w:color w:val="auto"/>
                    </w:rPr>
                    <w:t>巩留县众邦新型材料加工厂建设项目</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11" w:type="pct"/>
                  <w:tcBorders>
                    <w:tl2br w:val="nil"/>
                    <w:tr2bl w:val="nil"/>
                  </w:tcBorders>
                  <w:vAlign w:val="center"/>
                </w:tcPr>
                <w:p>
                  <w:pPr>
                    <w:pStyle w:val="56"/>
                    <w:bidi w:val="0"/>
                    <w:rPr>
                      <w:color w:val="auto"/>
                    </w:rPr>
                  </w:pPr>
                  <w:r>
                    <w:rPr>
                      <w:color w:val="auto"/>
                    </w:rPr>
                    <w:t>建设地点</w:t>
                  </w:r>
                </w:p>
              </w:tc>
              <w:tc>
                <w:tcPr>
                  <w:tcW w:w="3788" w:type="pct"/>
                  <w:gridSpan w:val="4"/>
                  <w:tcBorders>
                    <w:tl2br w:val="nil"/>
                    <w:tr2bl w:val="nil"/>
                  </w:tcBorders>
                  <w:vAlign w:val="center"/>
                </w:tcPr>
                <w:p>
                  <w:pPr>
                    <w:pStyle w:val="56"/>
                    <w:bidi w:val="0"/>
                    <w:rPr>
                      <w:rFonts w:hint="default" w:ascii="Times New Roman" w:hAnsi="Times New Roman" w:eastAsia="宋体" w:cs="Times New Roman"/>
                      <w:color w:val="auto"/>
                      <w:lang w:val="en-US"/>
                    </w:rPr>
                  </w:pPr>
                  <w:r>
                    <w:rPr>
                      <w:rFonts w:hint="eastAsia" w:ascii="Times New Roman" w:hAnsi="Times New Roman" w:eastAsia="宋体" w:cs="Times New Roman"/>
                      <w:color w:val="auto"/>
                    </w:rPr>
                    <w:t>巩留县恰甫其海路南侧东三路西侧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11" w:type="pct"/>
                  <w:tcBorders>
                    <w:tl2br w:val="nil"/>
                    <w:tr2bl w:val="nil"/>
                  </w:tcBorders>
                  <w:vAlign w:val="center"/>
                </w:tcPr>
                <w:p>
                  <w:pPr>
                    <w:pStyle w:val="56"/>
                    <w:bidi w:val="0"/>
                    <w:rPr>
                      <w:color w:val="auto"/>
                    </w:rPr>
                  </w:pPr>
                  <w:r>
                    <w:rPr>
                      <w:color w:val="auto"/>
                    </w:rPr>
                    <w:t>地理坐标</w:t>
                  </w:r>
                </w:p>
              </w:tc>
              <w:tc>
                <w:tcPr>
                  <w:tcW w:w="676" w:type="pct"/>
                  <w:tcBorders>
                    <w:tl2br w:val="nil"/>
                    <w:tr2bl w:val="nil"/>
                  </w:tcBorders>
                  <w:vAlign w:val="center"/>
                </w:tcPr>
                <w:p>
                  <w:pPr>
                    <w:pStyle w:val="56"/>
                    <w:bidi w:val="0"/>
                    <w:rPr>
                      <w:color w:val="auto"/>
                    </w:rPr>
                  </w:pPr>
                  <w:r>
                    <w:rPr>
                      <w:color w:val="auto"/>
                    </w:rPr>
                    <w:t>经度</w:t>
                  </w:r>
                </w:p>
              </w:tc>
              <w:tc>
                <w:tcPr>
                  <w:tcW w:w="1205" w:type="pct"/>
                  <w:tcBorders>
                    <w:tl2br w:val="nil"/>
                    <w:tr2bl w:val="nil"/>
                  </w:tcBorders>
                  <w:vAlign w:val="center"/>
                </w:tcPr>
                <w:p>
                  <w:pPr>
                    <w:pStyle w:val="56"/>
                    <w:bidi w:val="0"/>
                    <w:rPr>
                      <w:color w:val="auto"/>
                    </w:rPr>
                  </w:pPr>
                  <w:r>
                    <w:rPr>
                      <w:rFonts w:hint="eastAsia" w:ascii="Times New Roman" w:hAnsi="Times New Roman" w:eastAsia="宋体" w:cs="Times New Roman"/>
                      <w:color w:val="auto"/>
                    </w:rPr>
                    <w:t>82</w:t>
                  </w:r>
                  <w:r>
                    <w:rPr>
                      <w:rFonts w:ascii="Times New Roman" w:hAnsi="Times New Roman" w:eastAsia="宋体" w:cs="Times New Roman"/>
                      <w:color w:val="auto"/>
                    </w:rPr>
                    <w:t>°</w:t>
                  </w:r>
                  <w:r>
                    <w:rPr>
                      <w:rFonts w:hint="eastAsia" w:ascii="Times New Roman" w:hAnsi="Times New Roman" w:eastAsia="宋体" w:cs="Times New Roman"/>
                      <w:color w:val="auto"/>
                    </w:rPr>
                    <w:t>14</w:t>
                  </w:r>
                  <w:r>
                    <w:rPr>
                      <w:rFonts w:ascii="Times New Roman" w:hAnsi="Times New Roman" w:eastAsia="宋体" w:cs="Times New Roman"/>
                      <w:color w:val="auto"/>
                    </w:rPr>
                    <w:t>′</w:t>
                  </w:r>
                  <w:r>
                    <w:rPr>
                      <w:rFonts w:hint="eastAsia" w:ascii="Times New Roman" w:hAnsi="Times New Roman" w:eastAsia="宋体" w:cs="Times New Roman"/>
                      <w:color w:val="auto"/>
                    </w:rPr>
                    <w:t>9.180</w:t>
                  </w:r>
                  <w:r>
                    <w:rPr>
                      <w:rFonts w:ascii="Times New Roman" w:hAnsi="Times New Roman" w:eastAsia="宋体" w:cs="Times New Roman"/>
                      <w:color w:val="auto"/>
                    </w:rPr>
                    <w:t>″</w:t>
                  </w:r>
                </w:p>
              </w:tc>
              <w:tc>
                <w:tcPr>
                  <w:tcW w:w="750" w:type="pct"/>
                  <w:tcBorders>
                    <w:tl2br w:val="nil"/>
                    <w:tr2bl w:val="nil"/>
                  </w:tcBorders>
                  <w:vAlign w:val="center"/>
                </w:tcPr>
                <w:p>
                  <w:pPr>
                    <w:pStyle w:val="56"/>
                    <w:bidi w:val="0"/>
                    <w:rPr>
                      <w:color w:val="auto"/>
                    </w:rPr>
                  </w:pPr>
                  <w:r>
                    <w:rPr>
                      <w:color w:val="auto"/>
                    </w:rPr>
                    <w:t>纬度</w:t>
                  </w:r>
                </w:p>
              </w:tc>
              <w:tc>
                <w:tcPr>
                  <w:tcW w:w="1156" w:type="pct"/>
                  <w:tcBorders>
                    <w:tl2br w:val="nil"/>
                    <w:tr2bl w:val="nil"/>
                  </w:tcBorders>
                  <w:vAlign w:val="center"/>
                </w:tcPr>
                <w:p>
                  <w:pPr>
                    <w:pStyle w:val="56"/>
                    <w:bidi w:val="0"/>
                    <w:rPr>
                      <w:color w:val="auto"/>
                    </w:rPr>
                  </w:pPr>
                  <w:r>
                    <w:rPr>
                      <w:rFonts w:hint="eastAsia" w:ascii="Times New Roman" w:hAnsi="Times New Roman" w:eastAsia="宋体" w:cs="Times New Roman"/>
                      <w:color w:val="auto"/>
                    </w:rPr>
                    <w:t>43</w:t>
                  </w:r>
                  <w:r>
                    <w:rPr>
                      <w:rFonts w:ascii="Times New Roman" w:hAnsi="Times New Roman" w:eastAsia="宋体" w:cs="Times New Roman"/>
                      <w:color w:val="auto"/>
                    </w:rPr>
                    <w:t>°</w:t>
                  </w:r>
                  <w:r>
                    <w:rPr>
                      <w:rFonts w:hint="eastAsia" w:ascii="Times New Roman" w:hAnsi="Times New Roman" w:eastAsia="宋体" w:cs="Times New Roman"/>
                      <w:color w:val="auto"/>
                    </w:rPr>
                    <w:t>30</w:t>
                  </w:r>
                  <w:r>
                    <w:rPr>
                      <w:rFonts w:ascii="Times New Roman" w:hAnsi="Times New Roman" w:eastAsia="宋体" w:cs="Times New Roman"/>
                      <w:color w:val="auto"/>
                    </w:rPr>
                    <w:t>′</w:t>
                  </w:r>
                  <w:r>
                    <w:rPr>
                      <w:rFonts w:hint="eastAsia" w:ascii="Times New Roman" w:hAnsi="Times New Roman" w:eastAsia="宋体" w:cs="Times New Roman"/>
                      <w:color w:val="auto"/>
                    </w:rPr>
                    <w:t>5.743</w:t>
                  </w:r>
                  <w:r>
                    <w:rPr>
                      <w:rFonts w:ascii="Times New Roman" w:hAnsi="Times New Roman" w:eastAsia="宋体" w:cs="Times New Roman"/>
                      <w:color w:val="auto"/>
                    </w:rPr>
                    <w:t>″</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11" w:type="pct"/>
                  <w:tcBorders>
                    <w:tl2br w:val="nil"/>
                    <w:tr2bl w:val="nil"/>
                  </w:tcBorders>
                  <w:vAlign w:val="center"/>
                </w:tcPr>
                <w:p>
                  <w:pPr>
                    <w:pStyle w:val="56"/>
                    <w:bidi w:val="0"/>
                    <w:rPr>
                      <w:color w:val="auto"/>
                    </w:rPr>
                  </w:pPr>
                  <w:r>
                    <w:rPr>
                      <w:color w:val="auto"/>
                    </w:rPr>
                    <w:t>主要危险物质及分布</w:t>
                  </w:r>
                </w:p>
              </w:tc>
              <w:tc>
                <w:tcPr>
                  <w:tcW w:w="3788" w:type="pct"/>
                  <w:gridSpan w:val="4"/>
                  <w:tcBorders>
                    <w:tl2br w:val="nil"/>
                    <w:tr2bl w:val="nil"/>
                  </w:tcBorders>
                  <w:vAlign w:val="center"/>
                </w:tcPr>
                <w:p>
                  <w:pPr>
                    <w:pStyle w:val="56"/>
                    <w:bidi w:val="0"/>
                    <w:rPr>
                      <w:color w:val="auto"/>
                    </w:rPr>
                  </w:pPr>
                  <w:r>
                    <w:rPr>
                      <w:color w:val="auto"/>
                    </w:rPr>
                    <w:t>主要危险物质</w:t>
                  </w:r>
                  <w:r>
                    <w:rPr>
                      <w:rFonts w:hint="eastAsia"/>
                      <w:color w:val="auto"/>
                    </w:rPr>
                    <w:t>：EPS及EPS制品戊烷</w:t>
                  </w:r>
                  <w:r>
                    <w:rPr>
                      <w:color w:val="auto"/>
                    </w:rPr>
                    <w:t>。</w:t>
                  </w:r>
                </w:p>
                <w:p>
                  <w:pPr>
                    <w:pStyle w:val="56"/>
                    <w:bidi w:val="0"/>
                    <w:rPr>
                      <w:rFonts w:hint="eastAsia"/>
                      <w:color w:val="auto"/>
                      <w:lang w:val="en-US" w:eastAsia="zh-CN"/>
                    </w:rPr>
                  </w:pPr>
                  <w:r>
                    <w:rPr>
                      <w:color w:val="auto"/>
                    </w:rPr>
                    <w:t>主要分布在：</w:t>
                  </w:r>
                  <w:r>
                    <w:rPr>
                      <w:rFonts w:hint="eastAsia"/>
                      <w:color w:val="auto"/>
                      <w:lang w:val="en-US" w:eastAsia="zh-CN"/>
                    </w:rPr>
                    <w:t>生产车间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211" w:type="pct"/>
                  <w:tcBorders>
                    <w:tl2br w:val="nil"/>
                    <w:tr2bl w:val="nil"/>
                  </w:tcBorders>
                  <w:vAlign w:val="center"/>
                </w:tcPr>
                <w:p>
                  <w:pPr>
                    <w:pStyle w:val="56"/>
                    <w:bidi w:val="0"/>
                    <w:rPr>
                      <w:color w:val="auto"/>
                    </w:rPr>
                  </w:pPr>
                  <w:r>
                    <w:rPr>
                      <w:color w:val="auto"/>
                    </w:rPr>
                    <w:t>环境影响途径及危险后果（大气、地表水、地下水等）</w:t>
                  </w:r>
                </w:p>
              </w:tc>
              <w:tc>
                <w:tcPr>
                  <w:tcW w:w="3788" w:type="pct"/>
                  <w:gridSpan w:val="4"/>
                  <w:tcBorders>
                    <w:tl2br w:val="nil"/>
                    <w:tr2bl w:val="nil"/>
                  </w:tcBorders>
                  <w:vAlign w:val="center"/>
                </w:tcPr>
                <w:p>
                  <w:pPr>
                    <w:pStyle w:val="56"/>
                    <w:bidi w:val="0"/>
                    <w:jc w:val="center"/>
                    <w:rPr>
                      <w:rFonts w:hint="eastAsia" w:eastAsia="宋体"/>
                      <w:color w:val="auto"/>
                      <w:lang w:eastAsia="zh-CN"/>
                    </w:rPr>
                  </w:pPr>
                  <w:r>
                    <w:rPr>
                      <w:rFonts w:hint="eastAsia"/>
                      <w:color w:val="auto"/>
                      <w:lang w:eastAsia="zh-CN"/>
                    </w:rPr>
                    <w:t>发生火灾</w:t>
                  </w:r>
                  <w:r>
                    <w:rPr>
                      <w:rFonts w:hint="eastAsia"/>
                      <w:color w:val="auto"/>
                    </w:rPr>
                    <w:t>燃烧时所放出的气体与任何其他有机物质燃烧所散发毒害气体</w:t>
                  </w:r>
                  <w:r>
                    <w:rPr>
                      <w:rFonts w:hint="eastAsia"/>
                      <w:color w:val="auto"/>
                      <w:lang w:eastAsia="zh-CN"/>
                    </w:rPr>
                    <w:t>，</w:t>
                  </w:r>
                  <w:r>
                    <w:rPr>
                      <w:rFonts w:hint="eastAsia"/>
                      <w:color w:val="auto"/>
                    </w:rPr>
                    <w:t>在发生火灾爆炸事故时，如消防液通过下水系统流入项目区附近将会对项目区附近的人民生产、生活造成污染影响</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0" w:type="dxa"/>
                  <w:bottom w:w="0" w:type="dxa"/>
                  <w:right w:w="0" w:type="dxa"/>
                </w:tblCellMar>
              </w:tblPrEx>
              <w:trPr>
                <w:trHeight w:val="980" w:hRule="atLeast"/>
                <w:jc w:val="center"/>
              </w:trPr>
              <w:tc>
                <w:tcPr>
                  <w:tcW w:w="1211" w:type="pct"/>
                  <w:tcBorders>
                    <w:tl2br w:val="nil"/>
                    <w:tr2bl w:val="nil"/>
                  </w:tcBorders>
                  <w:vAlign w:val="center"/>
                </w:tcPr>
                <w:p>
                  <w:pPr>
                    <w:pStyle w:val="56"/>
                    <w:bidi w:val="0"/>
                    <w:rPr>
                      <w:color w:val="auto"/>
                    </w:rPr>
                  </w:pPr>
                  <w:r>
                    <w:rPr>
                      <w:color w:val="auto"/>
                    </w:rPr>
                    <w:t>风险防范措施</w:t>
                  </w:r>
                </w:p>
              </w:tc>
              <w:tc>
                <w:tcPr>
                  <w:tcW w:w="3788" w:type="pct"/>
                  <w:gridSpan w:val="4"/>
                  <w:tcBorders>
                    <w:tl2br w:val="nil"/>
                    <w:tr2bl w:val="nil"/>
                  </w:tcBorders>
                  <w:vAlign w:val="center"/>
                </w:tcPr>
                <w:p>
                  <w:pPr>
                    <w:pStyle w:val="56"/>
                    <w:bidi w:val="0"/>
                    <w:jc w:val="both"/>
                    <w:rPr>
                      <w:rFonts w:hint="eastAsia" w:eastAsia="宋体"/>
                      <w:color w:val="auto"/>
                      <w:lang w:eastAsia="zh-CN"/>
                    </w:rPr>
                  </w:pPr>
                  <w:r>
                    <w:rPr>
                      <w:rFonts w:hint="eastAsia"/>
                      <w:color w:val="auto"/>
                    </w:rPr>
                    <w:t>当本项目发生火灾爆炸事故的消防液外排时，应及时采取相应措施，将风险事故的影响范围控制在最小的范围，避免对附近人民生产、生活造成污染影响；事故发生后应及时报生态环境主管部门和环境监测部门开展事故应急监测</w:t>
                  </w:r>
                  <w:r>
                    <w:rPr>
                      <w:rFonts w:hint="eastAsia"/>
                      <w:color w:val="auto"/>
                      <w:lang w:eastAsia="zh-CN"/>
                    </w:rPr>
                    <w:t>；制定应急预案。</w:t>
                  </w:r>
                </w:p>
              </w:tc>
            </w:tr>
          </w:tbl>
          <w:p>
            <w:pPr>
              <w:snapToGrid w:val="0"/>
              <w:spacing w:line="520" w:lineRule="exact"/>
              <w:textAlignment w:val="baseline"/>
              <w:rPr>
                <w:bCs/>
                <w:color w:val="auto"/>
                <w:spacing w:val="-10"/>
                <w:sz w:val="28"/>
                <w:szCs w:val="28"/>
              </w:rPr>
            </w:pPr>
          </w:p>
        </w:tc>
      </w:tr>
    </w:tbl>
    <w:p>
      <w:pPr>
        <w:adjustRightInd w:val="0"/>
        <w:snapToGrid w:val="0"/>
        <w:spacing w:line="360" w:lineRule="auto"/>
        <w:rPr>
          <w:rFonts w:ascii="宋体" w:cs="宋体"/>
          <w:b/>
          <w:color w:val="auto"/>
          <w:kern w:val="0"/>
          <w:sz w:val="28"/>
          <w:szCs w:val="28"/>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pStyle w:val="15"/>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五、</w:t>
      </w:r>
      <w:bookmarkStart w:id="2" w:name="_Hlk54167917"/>
      <w:r>
        <w:rPr>
          <w:rFonts w:hint="eastAsia" w:ascii="黑体" w:hAnsi="黑体" w:eastAsia="黑体"/>
          <w:snapToGrid w:val="0"/>
          <w:color w:val="auto"/>
          <w:sz w:val="30"/>
          <w:szCs w:val="30"/>
        </w:rPr>
        <w:t>环境保护措施监督检查清单</w:t>
      </w:r>
      <w:bookmarkEnd w:id="2"/>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40"/>
        <w:gridCol w:w="1128"/>
        <w:gridCol w:w="1217"/>
        <w:gridCol w:w="1292"/>
        <w:gridCol w:w="1212"/>
        <w:gridCol w:w="31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040" w:type="dxa"/>
            <w:tcBorders>
              <w:tl2br w:val="single" w:color="auto" w:sz="4" w:space="0"/>
            </w:tcBorders>
          </w:tcPr>
          <w:p>
            <w:pPr>
              <w:adjustRightInd w:val="0"/>
              <w:snapToGrid w:val="0"/>
              <w:ind w:left="559" w:leftChars="133" w:hanging="280" w:hangingChars="100"/>
              <w:rPr>
                <w:color w:val="auto"/>
                <w:sz w:val="28"/>
                <w:szCs w:val="28"/>
              </w:rPr>
            </w:pPr>
            <w:r>
              <w:rPr>
                <w:color w:val="auto"/>
                <w:sz w:val="28"/>
                <w:szCs w:val="28"/>
              </w:rPr>
              <w:t>内容</w:t>
            </w:r>
          </w:p>
          <w:p>
            <w:pPr>
              <w:adjustRightInd w:val="0"/>
              <w:snapToGrid w:val="0"/>
              <w:jc w:val="center"/>
              <w:rPr>
                <w:color w:val="auto"/>
                <w:sz w:val="28"/>
                <w:szCs w:val="28"/>
              </w:rPr>
            </w:pPr>
          </w:p>
          <w:p>
            <w:pPr>
              <w:adjustRightInd w:val="0"/>
              <w:snapToGrid w:val="0"/>
              <w:rPr>
                <w:color w:val="auto"/>
                <w:sz w:val="28"/>
                <w:szCs w:val="28"/>
              </w:rPr>
            </w:pPr>
            <w:r>
              <w:rPr>
                <w:color w:val="auto"/>
                <w:sz w:val="28"/>
                <w:szCs w:val="28"/>
              </w:rPr>
              <w:t>要素</w:t>
            </w:r>
          </w:p>
        </w:tc>
        <w:tc>
          <w:tcPr>
            <w:tcW w:w="2345" w:type="dxa"/>
            <w:gridSpan w:val="2"/>
            <w:vAlign w:val="center"/>
          </w:tcPr>
          <w:p>
            <w:pPr>
              <w:adjustRightInd w:val="0"/>
              <w:snapToGrid w:val="0"/>
              <w:jc w:val="center"/>
              <w:rPr>
                <w:color w:val="auto"/>
                <w:sz w:val="28"/>
                <w:szCs w:val="28"/>
              </w:rPr>
            </w:pPr>
            <w:r>
              <w:rPr>
                <w:color w:val="auto"/>
                <w:sz w:val="28"/>
                <w:szCs w:val="28"/>
              </w:rPr>
              <w:t>排放口(编号、名称)/污染源</w:t>
            </w:r>
          </w:p>
        </w:tc>
        <w:tc>
          <w:tcPr>
            <w:tcW w:w="1292" w:type="dxa"/>
            <w:vAlign w:val="center"/>
          </w:tcPr>
          <w:p>
            <w:pPr>
              <w:adjustRightInd w:val="0"/>
              <w:snapToGrid w:val="0"/>
              <w:jc w:val="center"/>
              <w:rPr>
                <w:color w:val="auto"/>
                <w:sz w:val="28"/>
                <w:szCs w:val="28"/>
              </w:rPr>
            </w:pPr>
            <w:r>
              <w:rPr>
                <w:color w:val="auto"/>
                <w:sz w:val="28"/>
                <w:szCs w:val="28"/>
              </w:rPr>
              <w:t>污染物项目</w:t>
            </w:r>
          </w:p>
        </w:tc>
        <w:tc>
          <w:tcPr>
            <w:tcW w:w="1212" w:type="dxa"/>
            <w:vAlign w:val="center"/>
          </w:tcPr>
          <w:p>
            <w:pPr>
              <w:adjustRightInd w:val="0"/>
              <w:snapToGrid w:val="0"/>
              <w:jc w:val="center"/>
              <w:rPr>
                <w:color w:val="auto"/>
                <w:sz w:val="28"/>
                <w:szCs w:val="28"/>
              </w:rPr>
            </w:pPr>
            <w:r>
              <w:rPr>
                <w:color w:val="auto"/>
                <w:sz w:val="28"/>
                <w:szCs w:val="28"/>
              </w:rPr>
              <w:t>环境保护措施</w:t>
            </w:r>
          </w:p>
        </w:tc>
        <w:tc>
          <w:tcPr>
            <w:tcW w:w="3171" w:type="dxa"/>
            <w:vAlign w:val="center"/>
          </w:tcPr>
          <w:p>
            <w:pPr>
              <w:adjustRightInd w:val="0"/>
              <w:snapToGrid w:val="0"/>
              <w:jc w:val="center"/>
              <w:rPr>
                <w:color w:val="auto"/>
                <w:sz w:val="28"/>
                <w:szCs w:val="28"/>
              </w:rPr>
            </w:pPr>
            <w:r>
              <w:rPr>
                <w:color w:val="auto"/>
                <w:sz w:val="28"/>
                <w:szCs w:val="28"/>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03" w:hRule="atLeast"/>
          <w:jc w:val="center"/>
        </w:trPr>
        <w:tc>
          <w:tcPr>
            <w:tcW w:w="1040" w:type="dxa"/>
            <w:vMerge w:val="restart"/>
            <w:vAlign w:val="center"/>
          </w:tcPr>
          <w:p>
            <w:pPr>
              <w:adjustRightInd w:val="0"/>
              <w:snapToGrid w:val="0"/>
              <w:jc w:val="center"/>
              <w:rPr>
                <w:color w:val="auto"/>
                <w:sz w:val="28"/>
                <w:szCs w:val="28"/>
              </w:rPr>
            </w:pPr>
            <w:r>
              <w:rPr>
                <w:color w:val="auto"/>
                <w:sz w:val="28"/>
                <w:szCs w:val="28"/>
              </w:rPr>
              <w:t>大气环境</w:t>
            </w:r>
          </w:p>
        </w:tc>
        <w:tc>
          <w:tcPr>
            <w:tcW w:w="1128" w:type="dxa"/>
            <w:vAlign w:val="center"/>
          </w:tcPr>
          <w:p>
            <w:pPr>
              <w:adjustRightInd w:val="0"/>
              <w:snapToGrid w:val="0"/>
              <w:jc w:val="center"/>
              <w:rPr>
                <w:color w:val="auto"/>
                <w:sz w:val="28"/>
                <w:szCs w:val="28"/>
              </w:rPr>
            </w:pPr>
            <w:r>
              <w:rPr>
                <w:rFonts w:hint="eastAsia"/>
                <w:color w:val="auto"/>
                <w:sz w:val="28"/>
                <w:szCs w:val="28"/>
              </w:rPr>
              <w:t>食堂</w:t>
            </w:r>
          </w:p>
        </w:tc>
        <w:tc>
          <w:tcPr>
            <w:tcW w:w="1217" w:type="dxa"/>
            <w:vAlign w:val="center"/>
          </w:tcPr>
          <w:p>
            <w:pPr>
              <w:adjustRightInd w:val="0"/>
              <w:snapToGrid w:val="0"/>
              <w:jc w:val="center"/>
              <w:rPr>
                <w:color w:val="auto"/>
                <w:sz w:val="28"/>
                <w:szCs w:val="28"/>
              </w:rPr>
            </w:pPr>
            <w:r>
              <w:rPr>
                <w:rFonts w:hint="eastAsia"/>
                <w:color w:val="auto"/>
                <w:sz w:val="28"/>
                <w:szCs w:val="28"/>
              </w:rPr>
              <w:t>饮食油烟</w:t>
            </w:r>
          </w:p>
        </w:tc>
        <w:tc>
          <w:tcPr>
            <w:tcW w:w="1292" w:type="dxa"/>
            <w:vAlign w:val="center"/>
          </w:tcPr>
          <w:p>
            <w:pPr>
              <w:adjustRightInd w:val="0"/>
              <w:snapToGrid w:val="0"/>
              <w:jc w:val="center"/>
              <w:rPr>
                <w:color w:val="auto"/>
                <w:sz w:val="28"/>
                <w:szCs w:val="28"/>
              </w:rPr>
            </w:pPr>
            <w:r>
              <w:rPr>
                <w:rFonts w:hint="eastAsia"/>
                <w:color w:val="auto"/>
                <w:sz w:val="28"/>
                <w:szCs w:val="28"/>
              </w:rPr>
              <w:t>饮食油烟</w:t>
            </w:r>
          </w:p>
        </w:tc>
        <w:tc>
          <w:tcPr>
            <w:tcW w:w="1212" w:type="dxa"/>
            <w:vAlign w:val="center"/>
          </w:tcPr>
          <w:p>
            <w:pPr>
              <w:adjustRightInd w:val="0"/>
              <w:snapToGrid w:val="0"/>
              <w:jc w:val="center"/>
              <w:rPr>
                <w:color w:val="auto"/>
                <w:sz w:val="28"/>
                <w:szCs w:val="28"/>
              </w:rPr>
            </w:pPr>
            <w:r>
              <w:rPr>
                <w:rFonts w:hint="eastAsia"/>
                <w:color w:val="auto"/>
                <w:sz w:val="28"/>
                <w:szCs w:val="28"/>
              </w:rPr>
              <w:t>油烟净化装置</w:t>
            </w:r>
          </w:p>
        </w:tc>
        <w:tc>
          <w:tcPr>
            <w:tcW w:w="3171" w:type="dxa"/>
            <w:vAlign w:val="center"/>
          </w:tcPr>
          <w:p>
            <w:pPr>
              <w:adjustRightInd w:val="0"/>
              <w:snapToGrid w:val="0"/>
              <w:jc w:val="center"/>
              <w:rPr>
                <w:color w:val="auto"/>
                <w:sz w:val="28"/>
                <w:szCs w:val="28"/>
              </w:rPr>
            </w:pPr>
            <w:r>
              <w:rPr>
                <w:rFonts w:hint="eastAsia"/>
                <w:color w:val="auto"/>
                <w:sz w:val="28"/>
                <w:szCs w:val="28"/>
              </w:rPr>
              <w:t>《饮食业油烟排放标准》（试行）（GB184831-2001）中油烟的最高允许排放浓度2.0mg/m</w:t>
            </w:r>
            <w:r>
              <w:rPr>
                <w:rFonts w:hint="eastAsia"/>
                <w:color w:val="auto"/>
                <w:sz w:val="28"/>
                <w:szCs w:val="28"/>
                <w:vertAlign w:val="superscript"/>
              </w:rPr>
              <w:t>3</w:t>
            </w:r>
            <w:r>
              <w:rPr>
                <w:rFonts w:hint="eastAsia"/>
                <w:color w:val="auto"/>
                <w:sz w:val="28"/>
                <w:szCs w:val="28"/>
              </w:rPr>
              <w:t>的标准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40" w:type="dxa"/>
            <w:vMerge w:val="continue"/>
            <w:vAlign w:val="center"/>
          </w:tcPr>
          <w:p>
            <w:pPr>
              <w:adjustRightInd w:val="0"/>
              <w:snapToGrid w:val="0"/>
              <w:jc w:val="center"/>
              <w:rPr>
                <w:color w:val="auto"/>
                <w:sz w:val="28"/>
                <w:szCs w:val="28"/>
              </w:rPr>
            </w:pPr>
          </w:p>
        </w:tc>
        <w:tc>
          <w:tcPr>
            <w:tcW w:w="1128" w:type="dxa"/>
            <w:vAlign w:val="center"/>
          </w:tcPr>
          <w:p>
            <w:pPr>
              <w:adjustRightInd w:val="0"/>
              <w:snapToGrid w:val="0"/>
              <w:jc w:val="center"/>
              <w:rPr>
                <w:color w:val="auto"/>
                <w:sz w:val="28"/>
                <w:szCs w:val="28"/>
              </w:rPr>
            </w:pPr>
            <w:r>
              <w:rPr>
                <w:rFonts w:hint="eastAsia"/>
                <w:color w:val="auto"/>
                <w:sz w:val="28"/>
                <w:szCs w:val="28"/>
              </w:rPr>
              <w:t>苯板生产车间</w:t>
            </w:r>
          </w:p>
        </w:tc>
        <w:tc>
          <w:tcPr>
            <w:tcW w:w="1217" w:type="dxa"/>
            <w:vAlign w:val="center"/>
          </w:tcPr>
          <w:p>
            <w:pPr>
              <w:adjustRightInd w:val="0"/>
              <w:snapToGrid w:val="0"/>
              <w:jc w:val="center"/>
              <w:rPr>
                <w:color w:val="auto"/>
                <w:sz w:val="28"/>
                <w:szCs w:val="28"/>
              </w:rPr>
            </w:pPr>
            <w:r>
              <w:rPr>
                <w:rFonts w:hint="eastAsia"/>
                <w:color w:val="auto"/>
                <w:sz w:val="28"/>
                <w:szCs w:val="28"/>
              </w:rPr>
              <w:t>有机废气（排气筒DA001）</w:t>
            </w:r>
          </w:p>
        </w:tc>
        <w:tc>
          <w:tcPr>
            <w:tcW w:w="1292" w:type="dxa"/>
            <w:vAlign w:val="center"/>
          </w:tcPr>
          <w:p>
            <w:pPr>
              <w:adjustRightInd w:val="0"/>
              <w:snapToGrid w:val="0"/>
              <w:jc w:val="center"/>
              <w:rPr>
                <w:color w:val="auto"/>
                <w:sz w:val="28"/>
                <w:szCs w:val="28"/>
              </w:rPr>
            </w:pPr>
            <w:r>
              <w:rPr>
                <w:rFonts w:hint="eastAsia"/>
                <w:color w:val="auto"/>
                <w:sz w:val="28"/>
                <w:szCs w:val="28"/>
              </w:rPr>
              <w:t>非甲烷总烃</w:t>
            </w:r>
          </w:p>
        </w:tc>
        <w:tc>
          <w:tcPr>
            <w:tcW w:w="1212" w:type="dxa"/>
            <w:vAlign w:val="center"/>
          </w:tcPr>
          <w:p>
            <w:pPr>
              <w:adjustRightInd w:val="0"/>
              <w:snapToGrid w:val="0"/>
              <w:jc w:val="center"/>
              <w:rPr>
                <w:rFonts w:hint="default" w:eastAsia="宋体"/>
                <w:color w:val="auto"/>
                <w:sz w:val="28"/>
                <w:szCs w:val="28"/>
                <w:lang w:val="en-US" w:eastAsia="zh-CN"/>
              </w:rPr>
            </w:pPr>
            <w:r>
              <w:rPr>
                <w:color w:val="auto"/>
                <w:sz w:val="28"/>
                <w:szCs w:val="28"/>
              </w:rPr>
              <w:t>光氧</w:t>
            </w:r>
            <w:r>
              <w:rPr>
                <w:rFonts w:hint="eastAsia"/>
                <w:color w:val="auto"/>
                <w:sz w:val="28"/>
                <w:szCs w:val="28"/>
              </w:rPr>
              <w:t>催化</w:t>
            </w:r>
            <w:r>
              <w:rPr>
                <w:color w:val="auto"/>
                <w:sz w:val="28"/>
                <w:szCs w:val="28"/>
              </w:rPr>
              <w:t>+活性炭吸附</w:t>
            </w:r>
            <w:r>
              <w:rPr>
                <w:rFonts w:hint="eastAsia"/>
                <w:color w:val="auto"/>
                <w:sz w:val="28"/>
                <w:szCs w:val="28"/>
                <w:lang w:val="en-US" w:eastAsia="zh-CN"/>
              </w:rPr>
              <w:t>+15m高排气筒</w:t>
            </w:r>
          </w:p>
        </w:tc>
        <w:tc>
          <w:tcPr>
            <w:tcW w:w="3171" w:type="dxa"/>
            <w:vAlign w:val="center"/>
          </w:tcPr>
          <w:p>
            <w:pPr>
              <w:adjustRightInd w:val="0"/>
              <w:snapToGrid w:val="0"/>
              <w:jc w:val="center"/>
              <w:rPr>
                <w:color w:val="auto"/>
                <w:sz w:val="28"/>
                <w:szCs w:val="28"/>
              </w:rPr>
            </w:pPr>
            <w:r>
              <w:rPr>
                <w:rFonts w:hint="eastAsia"/>
                <w:color w:val="auto"/>
                <w:sz w:val="28"/>
                <w:szCs w:val="28"/>
              </w:rPr>
              <w:t>《合成树脂工业污染物排放标准》（</w:t>
            </w:r>
            <w:r>
              <w:rPr>
                <w:color w:val="auto"/>
                <w:sz w:val="28"/>
                <w:szCs w:val="28"/>
              </w:rPr>
              <w:t>GB31572-2015</w:t>
            </w:r>
            <w:r>
              <w:rPr>
                <w:rFonts w:hint="eastAsia"/>
                <w:color w:val="auto"/>
                <w:sz w:val="28"/>
                <w:szCs w:val="28"/>
              </w:rPr>
              <w:t>）中表4大气污染物特别排放限值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1040" w:type="dxa"/>
            <w:vMerge w:val="continue"/>
            <w:vAlign w:val="center"/>
          </w:tcPr>
          <w:p>
            <w:pPr>
              <w:adjustRightInd w:val="0"/>
              <w:snapToGrid w:val="0"/>
              <w:jc w:val="center"/>
              <w:rPr>
                <w:color w:val="auto"/>
                <w:sz w:val="28"/>
                <w:szCs w:val="28"/>
              </w:rPr>
            </w:pPr>
          </w:p>
        </w:tc>
        <w:tc>
          <w:tcPr>
            <w:tcW w:w="1128" w:type="dxa"/>
            <w:vAlign w:val="center"/>
          </w:tcPr>
          <w:p>
            <w:pPr>
              <w:adjustRightInd w:val="0"/>
              <w:snapToGrid w:val="0"/>
              <w:jc w:val="center"/>
              <w:rPr>
                <w:color w:val="auto"/>
                <w:sz w:val="28"/>
                <w:szCs w:val="28"/>
              </w:rPr>
            </w:pPr>
            <w:r>
              <w:rPr>
                <w:rFonts w:hint="eastAsia"/>
                <w:color w:val="auto"/>
                <w:sz w:val="28"/>
                <w:szCs w:val="28"/>
              </w:rPr>
              <w:t>生物质锅炉</w:t>
            </w:r>
          </w:p>
        </w:tc>
        <w:tc>
          <w:tcPr>
            <w:tcW w:w="1217" w:type="dxa"/>
            <w:vAlign w:val="center"/>
          </w:tcPr>
          <w:p>
            <w:pPr>
              <w:adjustRightInd w:val="0"/>
              <w:snapToGrid w:val="0"/>
              <w:jc w:val="center"/>
              <w:rPr>
                <w:color w:val="auto"/>
                <w:sz w:val="28"/>
                <w:szCs w:val="28"/>
              </w:rPr>
            </w:pPr>
            <w:r>
              <w:rPr>
                <w:rFonts w:hint="eastAsia"/>
                <w:color w:val="auto"/>
                <w:sz w:val="28"/>
                <w:szCs w:val="28"/>
              </w:rPr>
              <w:t>锅炉废气（排气筒DA002）</w:t>
            </w:r>
          </w:p>
        </w:tc>
        <w:tc>
          <w:tcPr>
            <w:tcW w:w="1292" w:type="dxa"/>
            <w:vAlign w:val="center"/>
          </w:tcPr>
          <w:p>
            <w:pPr>
              <w:adjustRightInd w:val="0"/>
              <w:snapToGrid w:val="0"/>
              <w:jc w:val="center"/>
              <w:rPr>
                <w:color w:val="auto"/>
                <w:sz w:val="28"/>
                <w:szCs w:val="28"/>
              </w:rPr>
            </w:pPr>
            <w:r>
              <w:rPr>
                <w:rFonts w:hint="eastAsia"/>
                <w:color w:val="auto"/>
                <w:sz w:val="28"/>
                <w:szCs w:val="28"/>
              </w:rPr>
              <w:t>颗粒物、二氧化硫、氮氧化物</w:t>
            </w:r>
          </w:p>
        </w:tc>
        <w:tc>
          <w:tcPr>
            <w:tcW w:w="1212" w:type="dxa"/>
            <w:vAlign w:val="center"/>
          </w:tcPr>
          <w:p>
            <w:pPr>
              <w:adjustRightInd w:val="0"/>
              <w:snapToGrid w:val="0"/>
              <w:jc w:val="center"/>
              <w:rPr>
                <w:color w:val="auto"/>
                <w:sz w:val="28"/>
                <w:szCs w:val="28"/>
              </w:rPr>
            </w:pPr>
            <w:r>
              <w:rPr>
                <w:rFonts w:hint="eastAsia"/>
                <w:color w:val="auto"/>
                <w:sz w:val="28"/>
                <w:szCs w:val="28"/>
              </w:rPr>
              <w:t>旋风除尘+袋式除尘技术</w:t>
            </w:r>
            <w:r>
              <w:rPr>
                <w:rFonts w:hint="eastAsia"/>
                <w:color w:val="auto"/>
                <w:sz w:val="28"/>
                <w:szCs w:val="28"/>
                <w:lang w:val="en-US" w:eastAsia="zh-CN"/>
              </w:rPr>
              <w:t>+15m高排气筒</w:t>
            </w:r>
          </w:p>
        </w:tc>
        <w:tc>
          <w:tcPr>
            <w:tcW w:w="3171" w:type="dxa"/>
            <w:vAlign w:val="center"/>
          </w:tcPr>
          <w:p>
            <w:pPr>
              <w:adjustRightInd w:val="0"/>
              <w:snapToGrid w:val="0"/>
              <w:jc w:val="center"/>
              <w:rPr>
                <w:rFonts w:hint="eastAsia" w:eastAsia="宋体"/>
                <w:color w:val="auto"/>
                <w:sz w:val="28"/>
                <w:szCs w:val="28"/>
                <w:lang w:val="zh-CN" w:eastAsia="zh-CN"/>
              </w:rPr>
            </w:pPr>
            <w:r>
              <w:rPr>
                <w:rFonts w:hint="eastAsia"/>
                <w:color w:val="auto"/>
                <w:sz w:val="28"/>
                <w:szCs w:val="28"/>
                <w:lang w:eastAsia="zh-CN"/>
              </w:rPr>
              <w:t>参照</w:t>
            </w:r>
            <w:r>
              <w:rPr>
                <w:rFonts w:hint="eastAsia"/>
                <w:color w:val="auto"/>
                <w:sz w:val="28"/>
                <w:szCs w:val="28"/>
              </w:rPr>
              <w:t>《锅炉大气污染物排放标准》（GB13271-2001）</w:t>
            </w:r>
            <w:r>
              <w:rPr>
                <w:rFonts w:hint="eastAsia"/>
                <w:color w:val="auto"/>
                <w:kern w:val="0"/>
                <w:sz w:val="28"/>
                <w:szCs w:val="28"/>
              </w:rPr>
              <w:t>表2中</w:t>
            </w:r>
            <w:r>
              <w:rPr>
                <w:rFonts w:hint="eastAsia"/>
                <w:color w:val="auto"/>
                <w:kern w:val="0"/>
                <w:sz w:val="28"/>
                <w:szCs w:val="28"/>
                <w:lang w:eastAsia="zh-CN"/>
              </w:rPr>
              <w:t>燃气</w:t>
            </w:r>
            <w:r>
              <w:rPr>
                <w:rFonts w:hint="eastAsia"/>
                <w:color w:val="auto"/>
                <w:kern w:val="0"/>
                <w:sz w:val="28"/>
                <w:szCs w:val="28"/>
              </w:rPr>
              <w:t>锅炉排放</w:t>
            </w:r>
            <w:r>
              <w:rPr>
                <w:rFonts w:hint="eastAsia"/>
                <w:color w:val="auto"/>
                <w:kern w:val="0"/>
                <w:sz w:val="28"/>
                <w:szCs w:val="28"/>
                <w:lang w:eastAsia="zh-CN"/>
              </w:rPr>
              <w:t>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40" w:type="dxa"/>
            <w:vAlign w:val="center"/>
          </w:tcPr>
          <w:p>
            <w:pPr>
              <w:adjustRightInd w:val="0"/>
              <w:snapToGrid w:val="0"/>
              <w:jc w:val="center"/>
              <w:rPr>
                <w:color w:val="auto"/>
                <w:sz w:val="28"/>
                <w:szCs w:val="28"/>
              </w:rPr>
            </w:pPr>
            <w:r>
              <w:rPr>
                <w:color w:val="auto"/>
                <w:sz w:val="28"/>
                <w:szCs w:val="28"/>
              </w:rPr>
              <w:t>地表水环境</w:t>
            </w:r>
          </w:p>
        </w:tc>
        <w:tc>
          <w:tcPr>
            <w:tcW w:w="2345" w:type="dxa"/>
            <w:gridSpan w:val="2"/>
            <w:vAlign w:val="center"/>
          </w:tcPr>
          <w:p>
            <w:pPr>
              <w:adjustRightInd w:val="0"/>
              <w:snapToGrid w:val="0"/>
              <w:jc w:val="center"/>
              <w:rPr>
                <w:color w:val="auto"/>
                <w:sz w:val="28"/>
                <w:szCs w:val="28"/>
              </w:rPr>
            </w:pPr>
            <w:r>
              <w:rPr>
                <w:rFonts w:hint="eastAsia"/>
                <w:color w:val="auto"/>
                <w:sz w:val="28"/>
                <w:szCs w:val="28"/>
              </w:rPr>
              <w:t>生活污水</w:t>
            </w:r>
          </w:p>
        </w:tc>
        <w:tc>
          <w:tcPr>
            <w:tcW w:w="1292" w:type="dxa"/>
            <w:vAlign w:val="center"/>
          </w:tcPr>
          <w:p>
            <w:pPr>
              <w:adjustRightInd w:val="0"/>
              <w:snapToGrid w:val="0"/>
              <w:rPr>
                <w:color w:val="auto"/>
                <w:sz w:val="28"/>
                <w:szCs w:val="28"/>
              </w:rPr>
            </w:pPr>
            <w:r>
              <w:rPr>
                <w:color w:val="auto"/>
                <w:sz w:val="24"/>
              </w:rPr>
              <w:t>COD、BOD</w:t>
            </w:r>
            <w:r>
              <w:rPr>
                <w:color w:val="auto"/>
                <w:sz w:val="24"/>
                <w:vertAlign w:val="subscript"/>
              </w:rPr>
              <w:t>5</w:t>
            </w:r>
            <w:r>
              <w:rPr>
                <w:color w:val="auto"/>
                <w:sz w:val="24"/>
              </w:rPr>
              <w:t>、SS、动植物油、</w:t>
            </w:r>
            <w:r>
              <w:rPr>
                <w:rFonts w:hint="eastAsia"/>
                <w:color w:val="auto"/>
                <w:sz w:val="24"/>
              </w:rPr>
              <w:t>NH</w:t>
            </w:r>
            <w:r>
              <w:rPr>
                <w:rFonts w:hint="eastAsia"/>
                <w:color w:val="auto"/>
                <w:sz w:val="24"/>
                <w:vertAlign w:val="subscript"/>
              </w:rPr>
              <w:t>3</w:t>
            </w:r>
            <w:r>
              <w:rPr>
                <w:rFonts w:hint="eastAsia"/>
                <w:color w:val="auto"/>
                <w:sz w:val="24"/>
              </w:rPr>
              <w:t>-N</w:t>
            </w:r>
          </w:p>
        </w:tc>
        <w:tc>
          <w:tcPr>
            <w:tcW w:w="1212" w:type="dxa"/>
            <w:vAlign w:val="center"/>
          </w:tcPr>
          <w:p>
            <w:pPr>
              <w:adjustRightInd w:val="0"/>
              <w:snapToGrid w:val="0"/>
              <w:jc w:val="center"/>
              <w:rPr>
                <w:color w:val="auto"/>
                <w:sz w:val="28"/>
                <w:szCs w:val="28"/>
              </w:rPr>
            </w:pPr>
            <w:r>
              <w:rPr>
                <w:rFonts w:hint="eastAsia"/>
                <w:color w:val="auto"/>
                <w:sz w:val="28"/>
                <w:szCs w:val="28"/>
              </w:rPr>
              <w:t>排入城镇污水管网</w:t>
            </w:r>
          </w:p>
        </w:tc>
        <w:tc>
          <w:tcPr>
            <w:tcW w:w="3171" w:type="dxa"/>
            <w:vAlign w:val="center"/>
          </w:tcPr>
          <w:p>
            <w:pPr>
              <w:adjustRightInd w:val="0"/>
              <w:snapToGrid w:val="0"/>
              <w:jc w:val="center"/>
              <w:rPr>
                <w:color w:val="auto"/>
                <w:sz w:val="28"/>
                <w:szCs w:val="28"/>
              </w:rPr>
            </w:pPr>
            <w:r>
              <w:rPr>
                <w:color w:val="auto"/>
                <w:kern w:val="0"/>
                <w:sz w:val="28"/>
                <w:szCs w:val="28"/>
              </w:rPr>
              <w:t>《</w:t>
            </w:r>
            <w:r>
              <w:rPr>
                <w:rFonts w:hint="eastAsia"/>
                <w:color w:val="auto"/>
                <w:kern w:val="0"/>
                <w:sz w:val="28"/>
                <w:szCs w:val="28"/>
              </w:rPr>
              <w:t>污水排入城镇下水道水质标准</w:t>
            </w:r>
            <w:r>
              <w:rPr>
                <w:color w:val="auto"/>
                <w:kern w:val="0"/>
                <w:sz w:val="28"/>
                <w:szCs w:val="28"/>
              </w:rPr>
              <w:t>》（GB</w:t>
            </w:r>
            <w:r>
              <w:rPr>
                <w:rFonts w:hint="eastAsia"/>
                <w:color w:val="auto"/>
                <w:kern w:val="0"/>
                <w:sz w:val="28"/>
                <w:szCs w:val="28"/>
              </w:rPr>
              <w:t xml:space="preserve"> T31962</w:t>
            </w:r>
            <w:r>
              <w:rPr>
                <w:color w:val="auto"/>
                <w:kern w:val="0"/>
                <w:sz w:val="28"/>
                <w:szCs w:val="28"/>
              </w:rPr>
              <w:t>—20</w:t>
            </w:r>
            <w:r>
              <w:rPr>
                <w:rFonts w:hint="eastAsia"/>
                <w:color w:val="auto"/>
                <w:kern w:val="0"/>
                <w:sz w:val="28"/>
                <w:szCs w:val="28"/>
              </w:rPr>
              <w:t>15</w:t>
            </w:r>
            <w:r>
              <w:rPr>
                <w:color w:val="auto"/>
                <w:kern w:val="0"/>
                <w:sz w:val="28"/>
                <w:szCs w:val="28"/>
              </w:rPr>
              <w:t>）</w:t>
            </w:r>
            <w:r>
              <w:rPr>
                <w:rFonts w:hint="eastAsia"/>
                <w:color w:val="auto"/>
                <w:kern w:val="0"/>
                <w:sz w:val="28"/>
                <w:szCs w:val="28"/>
              </w:rPr>
              <w:t>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52" w:hRule="atLeast"/>
          <w:jc w:val="center"/>
        </w:trPr>
        <w:tc>
          <w:tcPr>
            <w:tcW w:w="1040" w:type="dxa"/>
            <w:vAlign w:val="center"/>
          </w:tcPr>
          <w:p>
            <w:pPr>
              <w:adjustRightInd w:val="0"/>
              <w:snapToGrid w:val="0"/>
              <w:jc w:val="center"/>
              <w:rPr>
                <w:color w:val="auto"/>
                <w:sz w:val="28"/>
                <w:szCs w:val="28"/>
              </w:rPr>
            </w:pPr>
            <w:r>
              <w:rPr>
                <w:color w:val="auto"/>
                <w:sz w:val="28"/>
                <w:szCs w:val="28"/>
              </w:rPr>
              <w:t>声环境</w:t>
            </w:r>
          </w:p>
        </w:tc>
        <w:tc>
          <w:tcPr>
            <w:tcW w:w="2345" w:type="dxa"/>
            <w:gridSpan w:val="2"/>
            <w:vAlign w:val="center"/>
          </w:tcPr>
          <w:p>
            <w:pPr>
              <w:adjustRightInd w:val="0"/>
              <w:snapToGrid w:val="0"/>
              <w:jc w:val="center"/>
              <w:rPr>
                <w:color w:val="auto"/>
                <w:sz w:val="28"/>
                <w:szCs w:val="28"/>
              </w:rPr>
            </w:pPr>
            <w:r>
              <w:rPr>
                <w:rFonts w:hint="eastAsia"/>
                <w:color w:val="auto"/>
                <w:sz w:val="28"/>
                <w:szCs w:val="28"/>
              </w:rPr>
              <w:t>机械</w:t>
            </w:r>
            <w:r>
              <w:rPr>
                <w:color w:val="auto"/>
                <w:sz w:val="28"/>
                <w:szCs w:val="28"/>
              </w:rPr>
              <w:t>设施</w:t>
            </w:r>
          </w:p>
        </w:tc>
        <w:tc>
          <w:tcPr>
            <w:tcW w:w="1292" w:type="dxa"/>
            <w:vAlign w:val="center"/>
          </w:tcPr>
          <w:p>
            <w:pPr>
              <w:adjustRightInd w:val="0"/>
              <w:snapToGrid w:val="0"/>
              <w:jc w:val="center"/>
              <w:rPr>
                <w:color w:val="auto"/>
                <w:sz w:val="28"/>
                <w:szCs w:val="28"/>
              </w:rPr>
            </w:pPr>
            <w:r>
              <w:rPr>
                <w:color w:val="auto"/>
                <w:sz w:val="28"/>
                <w:szCs w:val="28"/>
              </w:rPr>
              <w:t>噪声</w:t>
            </w:r>
          </w:p>
        </w:tc>
        <w:tc>
          <w:tcPr>
            <w:tcW w:w="1212" w:type="dxa"/>
            <w:vAlign w:val="center"/>
          </w:tcPr>
          <w:p>
            <w:pPr>
              <w:adjustRightInd w:val="0"/>
              <w:snapToGrid w:val="0"/>
              <w:jc w:val="center"/>
              <w:rPr>
                <w:color w:val="auto"/>
                <w:sz w:val="28"/>
                <w:szCs w:val="28"/>
              </w:rPr>
            </w:pPr>
            <w:r>
              <w:rPr>
                <w:color w:val="auto"/>
                <w:sz w:val="28"/>
                <w:szCs w:val="28"/>
              </w:rPr>
              <w:t>隔声、减震</w:t>
            </w:r>
          </w:p>
        </w:tc>
        <w:tc>
          <w:tcPr>
            <w:tcW w:w="3171" w:type="dxa"/>
            <w:vAlign w:val="center"/>
          </w:tcPr>
          <w:p>
            <w:pPr>
              <w:adjustRightInd w:val="0"/>
              <w:snapToGrid w:val="0"/>
              <w:jc w:val="center"/>
              <w:rPr>
                <w:color w:val="auto"/>
                <w:sz w:val="28"/>
                <w:szCs w:val="28"/>
              </w:rPr>
            </w:pPr>
            <w:r>
              <w:rPr>
                <w:color w:val="auto"/>
                <w:sz w:val="28"/>
                <w:szCs w:val="28"/>
                <w:lang w:val="zh-CN"/>
              </w:rPr>
              <w:t>《工业企业厂界环境噪声排放标准》（GB12348—2008）</w:t>
            </w:r>
            <w:r>
              <w:rPr>
                <w:rFonts w:hint="eastAsia"/>
                <w:color w:val="auto"/>
                <w:sz w:val="28"/>
                <w:szCs w:val="28"/>
              </w:rPr>
              <w:t>3</w:t>
            </w:r>
            <w:r>
              <w:rPr>
                <w:color w:val="auto"/>
                <w:sz w:val="28"/>
                <w:szCs w:val="28"/>
                <w:lang w:val="zh-CN"/>
              </w:rPr>
              <w:t>类声环境功能区噪声限值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93" w:hRule="atLeast"/>
          <w:jc w:val="center"/>
        </w:trPr>
        <w:tc>
          <w:tcPr>
            <w:tcW w:w="1040" w:type="dxa"/>
            <w:vAlign w:val="center"/>
          </w:tcPr>
          <w:p>
            <w:pPr>
              <w:adjustRightInd w:val="0"/>
              <w:snapToGrid w:val="0"/>
              <w:jc w:val="center"/>
              <w:rPr>
                <w:color w:val="auto"/>
                <w:sz w:val="28"/>
                <w:szCs w:val="28"/>
              </w:rPr>
            </w:pPr>
            <w:r>
              <w:rPr>
                <w:color w:val="auto"/>
                <w:sz w:val="28"/>
                <w:szCs w:val="28"/>
              </w:rPr>
              <w:t>固体废物</w:t>
            </w:r>
          </w:p>
        </w:tc>
        <w:tc>
          <w:tcPr>
            <w:tcW w:w="8020" w:type="dxa"/>
            <w:gridSpan w:val="5"/>
            <w:vAlign w:val="center"/>
          </w:tcPr>
          <w:p>
            <w:pPr>
              <w:autoSpaceDE w:val="0"/>
              <w:autoSpaceDN w:val="0"/>
              <w:adjustRightInd w:val="0"/>
              <w:spacing w:line="520" w:lineRule="exact"/>
              <w:ind w:firstLine="560" w:firstLineChars="200"/>
              <w:rPr>
                <w:rFonts w:hint="eastAsia" w:eastAsia="宋体"/>
                <w:color w:val="auto"/>
                <w:sz w:val="28"/>
                <w:szCs w:val="28"/>
                <w:lang w:eastAsia="zh-CN"/>
              </w:rPr>
            </w:pPr>
            <w:r>
              <w:rPr>
                <w:rFonts w:hint="eastAsia"/>
                <w:color w:val="auto"/>
                <w:sz w:val="28"/>
                <w:szCs w:val="28"/>
                <w:lang w:eastAsia="zh-CN"/>
              </w:rPr>
              <w:t>本项目主要产生的固体废物包括生活垃圾、</w:t>
            </w:r>
            <w:r>
              <w:rPr>
                <w:color w:val="auto"/>
                <w:sz w:val="28"/>
                <w:szCs w:val="28"/>
              </w:rPr>
              <w:t>板材混料、切割、打包过程中产生的边脚料及不合格产品</w:t>
            </w:r>
            <w:r>
              <w:rPr>
                <w:rFonts w:hint="eastAsia"/>
                <w:color w:val="auto"/>
                <w:sz w:val="28"/>
                <w:szCs w:val="28"/>
                <w:lang w:eastAsia="zh-CN"/>
              </w:rPr>
              <w:t>、危险废物。</w:t>
            </w:r>
          </w:p>
          <w:p>
            <w:pPr>
              <w:numPr>
                <w:ilvl w:val="0"/>
                <w:numId w:val="4"/>
              </w:numPr>
              <w:autoSpaceDE w:val="0"/>
              <w:autoSpaceDN w:val="0"/>
              <w:adjustRightInd w:val="0"/>
              <w:spacing w:line="520" w:lineRule="exact"/>
              <w:ind w:firstLine="560" w:firstLineChars="200"/>
              <w:rPr>
                <w:rFonts w:hint="eastAsia"/>
                <w:color w:val="auto"/>
                <w:sz w:val="28"/>
                <w:szCs w:val="28"/>
              </w:rPr>
            </w:pPr>
            <w:r>
              <w:rPr>
                <w:color w:val="auto"/>
                <w:sz w:val="28"/>
                <w:szCs w:val="28"/>
              </w:rPr>
              <w:t>本项目产生的生活垃圾</w:t>
            </w:r>
            <w:r>
              <w:rPr>
                <w:rFonts w:hint="eastAsia"/>
                <w:color w:val="auto"/>
                <w:sz w:val="28"/>
                <w:szCs w:val="28"/>
              </w:rPr>
              <w:t>量为0.84t/a，项目生活垃圾暂存于厂区垃圾箱内，由环卫部门统一处理；</w:t>
            </w:r>
          </w:p>
          <w:p>
            <w:pPr>
              <w:numPr>
                <w:ilvl w:val="0"/>
                <w:numId w:val="4"/>
              </w:numPr>
              <w:autoSpaceDE w:val="0"/>
              <w:autoSpaceDN w:val="0"/>
              <w:adjustRightInd w:val="0"/>
              <w:spacing w:line="520" w:lineRule="exact"/>
              <w:ind w:firstLine="560" w:firstLineChars="200"/>
              <w:rPr>
                <w:color w:val="auto"/>
                <w:sz w:val="28"/>
                <w:szCs w:val="28"/>
              </w:rPr>
            </w:pPr>
            <w:r>
              <w:rPr>
                <w:rFonts w:hint="eastAsia"/>
                <w:color w:val="auto"/>
                <w:sz w:val="28"/>
                <w:szCs w:val="28"/>
              </w:rPr>
              <w:t>项目产生的</w:t>
            </w:r>
            <w:r>
              <w:rPr>
                <w:color w:val="auto"/>
                <w:sz w:val="28"/>
                <w:szCs w:val="28"/>
              </w:rPr>
              <w:t>边角料和部分可回用的不合格产品经破碎后回用于生产，废包装材料以及边角料中不能回用于生产的</w:t>
            </w:r>
            <w:r>
              <w:rPr>
                <w:rFonts w:hint="eastAsia"/>
                <w:color w:val="auto"/>
                <w:sz w:val="28"/>
                <w:szCs w:val="28"/>
              </w:rPr>
              <w:t>量为0.002t/a</w:t>
            </w:r>
            <w:r>
              <w:rPr>
                <w:color w:val="auto"/>
                <w:sz w:val="28"/>
                <w:szCs w:val="28"/>
              </w:rPr>
              <w:t>，全部卖给废品回收厂家，不外排</w:t>
            </w:r>
            <w:r>
              <w:rPr>
                <w:rFonts w:hint="eastAsia"/>
                <w:color w:val="auto"/>
                <w:sz w:val="28"/>
                <w:szCs w:val="28"/>
              </w:rPr>
              <w:t>；</w:t>
            </w:r>
          </w:p>
          <w:p>
            <w:pPr>
              <w:numPr>
                <w:ilvl w:val="0"/>
                <w:numId w:val="4"/>
              </w:numPr>
              <w:autoSpaceDE w:val="0"/>
              <w:autoSpaceDN w:val="0"/>
              <w:adjustRightInd w:val="0"/>
              <w:spacing w:line="520" w:lineRule="exact"/>
              <w:ind w:firstLine="560" w:firstLineChars="200"/>
              <w:rPr>
                <w:color w:val="auto"/>
                <w:sz w:val="28"/>
                <w:szCs w:val="28"/>
              </w:rPr>
            </w:pPr>
            <w:r>
              <w:rPr>
                <w:rFonts w:hint="eastAsia"/>
                <w:color w:val="auto"/>
                <w:sz w:val="28"/>
                <w:szCs w:val="28"/>
              </w:rPr>
              <w:t>项目产生的锅炉炉灰量为31.65t/a，锅炉</w:t>
            </w:r>
            <w:r>
              <w:rPr>
                <w:color w:val="auto"/>
                <w:sz w:val="28"/>
                <w:szCs w:val="28"/>
              </w:rPr>
              <w:t>炉灰用于农田施肥，</w:t>
            </w:r>
            <w:r>
              <w:rPr>
                <w:rFonts w:hint="eastAsia"/>
                <w:color w:val="auto"/>
                <w:sz w:val="28"/>
                <w:szCs w:val="28"/>
              </w:rPr>
              <w:t>不外排；</w:t>
            </w:r>
          </w:p>
          <w:p>
            <w:pPr>
              <w:numPr>
                <w:ilvl w:val="0"/>
                <w:numId w:val="4"/>
              </w:numPr>
              <w:autoSpaceDE w:val="0"/>
              <w:autoSpaceDN w:val="0"/>
              <w:adjustRightInd w:val="0"/>
              <w:spacing w:line="520" w:lineRule="exact"/>
              <w:ind w:firstLine="560" w:firstLineChars="200"/>
              <w:rPr>
                <w:color w:val="auto"/>
                <w:sz w:val="28"/>
                <w:szCs w:val="28"/>
              </w:rPr>
            </w:pPr>
            <w:r>
              <w:rPr>
                <w:rFonts w:hint="eastAsia"/>
                <w:color w:val="auto"/>
                <w:sz w:val="28"/>
                <w:szCs w:val="28"/>
                <w:lang w:eastAsia="zh-CN"/>
              </w:rPr>
              <w:t>危险废区：</w:t>
            </w:r>
            <w:r>
              <w:rPr>
                <w:color w:val="auto"/>
                <w:sz w:val="28"/>
                <w:szCs w:val="28"/>
              </w:rPr>
              <w:t>废活性炭</w:t>
            </w:r>
            <w:r>
              <w:rPr>
                <w:rFonts w:hint="eastAsia"/>
                <w:color w:val="auto"/>
                <w:sz w:val="28"/>
                <w:szCs w:val="28"/>
              </w:rPr>
              <w:t>的产生量为7.6t/a、废灯管的产生量为20支/a、废机油的产生量为0.0095t/a，危险废物</w:t>
            </w:r>
            <w:r>
              <w:rPr>
                <w:color w:val="auto"/>
                <w:sz w:val="28"/>
                <w:szCs w:val="28"/>
              </w:rPr>
              <w:t>统一收集</w:t>
            </w:r>
            <w:r>
              <w:rPr>
                <w:rFonts w:hint="eastAsia"/>
                <w:color w:val="auto"/>
                <w:sz w:val="28"/>
                <w:szCs w:val="28"/>
                <w:lang w:eastAsia="zh-CN"/>
              </w:rPr>
              <w:t>至场内为废暂存间</w:t>
            </w:r>
            <w:r>
              <w:rPr>
                <w:color w:val="auto"/>
                <w:sz w:val="28"/>
                <w:szCs w:val="28"/>
              </w:rPr>
              <w:t>后</w:t>
            </w:r>
            <w:r>
              <w:rPr>
                <w:rFonts w:hint="eastAsia"/>
                <w:color w:val="auto"/>
                <w:sz w:val="28"/>
                <w:szCs w:val="28"/>
              </w:rPr>
              <w:t>交由有</w:t>
            </w:r>
            <w:r>
              <w:rPr>
                <w:color w:val="auto"/>
                <w:sz w:val="28"/>
                <w:szCs w:val="28"/>
              </w:rPr>
              <w:t>资质的单位统一处理。</w:t>
            </w:r>
          </w:p>
          <w:p>
            <w:pPr>
              <w:numPr>
                <w:ilvl w:val="0"/>
                <w:numId w:val="0"/>
              </w:numPr>
              <w:autoSpaceDE w:val="0"/>
              <w:autoSpaceDN w:val="0"/>
              <w:adjustRightInd w:val="0"/>
              <w:spacing w:line="520" w:lineRule="exact"/>
              <w:ind w:firstLine="560" w:firstLineChars="200"/>
              <w:rPr>
                <w:color w:val="auto"/>
                <w:sz w:val="28"/>
                <w:szCs w:val="28"/>
              </w:rPr>
            </w:pPr>
            <w:r>
              <w:rPr>
                <w:color w:val="auto"/>
                <w:sz w:val="28"/>
                <w:szCs w:val="28"/>
              </w:rPr>
              <w:t>综上所述采取相应措施后固体废弃物对环境影响不大。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42" w:hRule="atLeast"/>
          <w:jc w:val="center"/>
        </w:trPr>
        <w:tc>
          <w:tcPr>
            <w:tcW w:w="1040" w:type="dxa"/>
            <w:vAlign w:val="center"/>
          </w:tcPr>
          <w:p>
            <w:pPr>
              <w:adjustRightInd w:val="0"/>
              <w:snapToGrid w:val="0"/>
              <w:jc w:val="center"/>
              <w:rPr>
                <w:color w:val="auto"/>
                <w:sz w:val="28"/>
                <w:szCs w:val="28"/>
              </w:rPr>
            </w:pPr>
            <w:r>
              <w:rPr>
                <w:color w:val="auto"/>
                <w:sz w:val="28"/>
                <w:szCs w:val="28"/>
              </w:rPr>
              <w:t>土壤及地下水污染防治措施</w:t>
            </w:r>
          </w:p>
        </w:tc>
        <w:tc>
          <w:tcPr>
            <w:tcW w:w="8020" w:type="dxa"/>
            <w:gridSpan w:val="5"/>
            <w:vAlign w:val="center"/>
          </w:tcPr>
          <w:p>
            <w:pPr>
              <w:adjustRightInd w:val="0"/>
              <w:snapToGrid w:val="0"/>
              <w:spacing w:line="520" w:lineRule="exact"/>
              <w:ind w:firstLine="560" w:firstLineChars="200"/>
              <w:rPr>
                <w:rFonts w:hint="eastAsia" w:eastAsia="宋体"/>
                <w:color w:val="auto"/>
                <w:sz w:val="28"/>
                <w:szCs w:val="28"/>
                <w:lang w:eastAsia="zh-CN"/>
              </w:rPr>
            </w:pPr>
            <w:r>
              <w:rPr>
                <w:rFonts w:hint="eastAsia" w:ascii="Times New Roman" w:hAnsi="Times New Roman" w:eastAsia="宋体" w:cs="Times New Roman"/>
                <w:color w:val="auto"/>
                <w:sz w:val="28"/>
                <w:szCs w:val="28"/>
                <w:lang w:eastAsia="zh-CN"/>
              </w:rPr>
              <w:t>本项目危险废物</w:t>
            </w:r>
            <w:r>
              <w:rPr>
                <w:rFonts w:hint="eastAsia"/>
                <w:color w:val="auto"/>
                <w:sz w:val="28"/>
                <w:szCs w:val="28"/>
              </w:rPr>
              <w:t>贮存场所</w:t>
            </w:r>
            <w:r>
              <w:rPr>
                <w:rFonts w:hint="eastAsia"/>
                <w:color w:val="auto"/>
                <w:sz w:val="28"/>
                <w:szCs w:val="28"/>
                <w:lang w:eastAsia="zh-CN"/>
              </w:rPr>
              <w:t>为一般防渗区，采用基础必须防渗，防渗层为至少1m厚粘土层（渗透系数＜10</w:t>
            </w:r>
            <w:r>
              <w:rPr>
                <w:rFonts w:hint="eastAsia"/>
                <w:color w:val="auto"/>
                <w:sz w:val="28"/>
                <w:szCs w:val="28"/>
                <w:vertAlign w:val="superscript"/>
                <w:lang w:eastAsia="zh-CN"/>
              </w:rPr>
              <w:t>-7</w:t>
            </w:r>
            <w:r>
              <w:rPr>
                <w:rFonts w:hint="eastAsia"/>
                <w:color w:val="auto"/>
                <w:sz w:val="28"/>
                <w:szCs w:val="28"/>
                <w:lang w:eastAsia="zh-CN"/>
              </w:rPr>
              <w:t>cm/s），或2mm厚高密度聚乙烯，或至少2mm厚的其它人工材料，渗透系数＜10</w:t>
            </w:r>
            <w:r>
              <w:rPr>
                <w:rFonts w:hint="eastAsia"/>
                <w:color w:val="auto"/>
                <w:sz w:val="28"/>
                <w:szCs w:val="28"/>
                <w:vertAlign w:val="superscript"/>
                <w:lang w:eastAsia="zh-CN"/>
              </w:rPr>
              <w:t>-10</w:t>
            </w:r>
            <w:r>
              <w:rPr>
                <w:rFonts w:hint="eastAsia"/>
                <w:color w:val="auto"/>
                <w:sz w:val="28"/>
                <w:szCs w:val="28"/>
                <w:lang w:eastAsia="zh-CN"/>
              </w:rPr>
              <w:t>cm/s；其他区域为简单防渗区，进行地面硬化。</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42" w:hRule="atLeast"/>
          <w:jc w:val="center"/>
        </w:trPr>
        <w:tc>
          <w:tcPr>
            <w:tcW w:w="1040" w:type="dxa"/>
            <w:vAlign w:val="center"/>
          </w:tcPr>
          <w:p>
            <w:pPr>
              <w:adjustRightInd w:val="0"/>
              <w:snapToGrid w:val="0"/>
              <w:jc w:val="center"/>
              <w:rPr>
                <w:color w:val="auto"/>
                <w:sz w:val="28"/>
                <w:szCs w:val="28"/>
              </w:rPr>
            </w:pPr>
            <w:r>
              <w:rPr>
                <w:color w:val="auto"/>
                <w:sz w:val="28"/>
                <w:szCs w:val="28"/>
              </w:rPr>
              <w:t>生态保护措施</w:t>
            </w:r>
          </w:p>
        </w:tc>
        <w:tc>
          <w:tcPr>
            <w:tcW w:w="8020" w:type="dxa"/>
            <w:gridSpan w:val="5"/>
            <w:vAlign w:val="center"/>
          </w:tcPr>
          <w:p>
            <w:pPr>
              <w:adjustRightInd w:val="0"/>
              <w:snapToGrid w:val="0"/>
              <w:spacing w:line="520" w:lineRule="exact"/>
              <w:ind w:firstLine="560" w:firstLineChars="200"/>
              <w:rPr>
                <w:color w:val="auto"/>
                <w:sz w:val="28"/>
                <w:szCs w:val="28"/>
              </w:rPr>
            </w:pPr>
            <w:r>
              <w:rPr>
                <w:color w:val="auto"/>
                <w:sz w:val="28"/>
                <w:szCs w:val="28"/>
              </w:rPr>
              <w:t>施工期严格控制施工场地范围，尽量减小占地宽度，严禁施工机械、人员超范围施工作业。现状植被覆盖率较低，均为自然生低矮植被，施工机械碾压、施工人员踩踏、基础开挖等施工活动不可避免对原生植被造成破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65" w:hRule="atLeast"/>
          <w:jc w:val="center"/>
        </w:trPr>
        <w:tc>
          <w:tcPr>
            <w:tcW w:w="1040" w:type="dxa"/>
            <w:vAlign w:val="center"/>
          </w:tcPr>
          <w:p>
            <w:pPr>
              <w:adjustRightInd w:val="0"/>
              <w:snapToGrid w:val="0"/>
              <w:jc w:val="center"/>
              <w:rPr>
                <w:color w:val="auto"/>
                <w:spacing w:val="-8"/>
                <w:sz w:val="28"/>
                <w:szCs w:val="28"/>
              </w:rPr>
            </w:pPr>
            <w:r>
              <w:rPr>
                <w:color w:val="auto"/>
                <w:spacing w:val="-8"/>
                <w:sz w:val="28"/>
                <w:szCs w:val="28"/>
              </w:rPr>
              <w:t>环境风险防范措施</w:t>
            </w:r>
          </w:p>
        </w:tc>
        <w:tc>
          <w:tcPr>
            <w:tcW w:w="8020" w:type="dxa"/>
            <w:gridSpan w:val="5"/>
            <w:vAlign w:val="center"/>
          </w:tcPr>
          <w:p>
            <w:pPr>
              <w:spacing w:line="520" w:lineRule="exact"/>
              <w:ind w:firstLine="560" w:firstLineChars="200"/>
              <w:rPr>
                <w:color w:val="auto"/>
                <w:sz w:val="28"/>
              </w:rPr>
            </w:pPr>
            <w:r>
              <w:rPr>
                <w:rFonts w:hint="eastAsia"/>
                <w:color w:val="auto"/>
                <w:sz w:val="28"/>
              </w:rPr>
              <w:t>在发生火灾爆炸事故时，如消防液通过下水系统流入项目区附近将会对项目区附近的人民生产、生活造成污染影响。因此，必须制定相应的风险防范措施，以防止风险事故造成对下游环境的影响。</w:t>
            </w:r>
          </w:p>
          <w:p>
            <w:pPr>
              <w:spacing w:line="520" w:lineRule="exact"/>
              <w:ind w:firstLine="560" w:firstLineChars="200"/>
              <w:rPr>
                <w:color w:val="auto"/>
                <w:sz w:val="28"/>
              </w:rPr>
            </w:pPr>
            <w:r>
              <w:rPr>
                <w:rFonts w:hint="eastAsia"/>
                <w:color w:val="auto"/>
                <w:sz w:val="28"/>
              </w:rPr>
              <w:t>①当本项目发生火灾爆炸事故的消防液外排时，应及时采取相应措施，将风险事故的影响范围控制在最小的范围，避免对附近人民生产、生活造成污染影响；</w:t>
            </w:r>
          </w:p>
          <w:p>
            <w:pPr>
              <w:spacing w:line="520" w:lineRule="exact"/>
              <w:ind w:firstLine="560" w:firstLineChars="200"/>
              <w:rPr>
                <w:color w:val="auto"/>
                <w:sz w:val="28"/>
                <w:szCs w:val="28"/>
              </w:rPr>
            </w:pPr>
            <w:r>
              <w:rPr>
                <w:rFonts w:hint="eastAsia"/>
                <w:color w:val="auto"/>
                <w:sz w:val="28"/>
              </w:rPr>
              <w:t>②事故发生后应及时报生态环境主管部门和环境监测部门开展事故应急监测。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118" w:hRule="atLeast"/>
          <w:jc w:val="center"/>
        </w:trPr>
        <w:tc>
          <w:tcPr>
            <w:tcW w:w="1040" w:type="dxa"/>
            <w:vAlign w:val="center"/>
          </w:tcPr>
          <w:p>
            <w:pPr>
              <w:adjustRightInd w:val="0"/>
              <w:snapToGrid w:val="0"/>
              <w:jc w:val="center"/>
              <w:rPr>
                <w:color w:val="auto"/>
                <w:spacing w:val="-8"/>
                <w:sz w:val="28"/>
                <w:szCs w:val="28"/>
              </w:rPr>
            </w:pPr>
            <w:r>
              <w:rPr>
                <w:color w:val="auto"/>
                <w:spacing w:val="-8"/>
                <w:sz w:val="28"/>
                <w:szCs w:val="28"/>
              </w:rPr>
              <w:t>其他环境管理要求</w:t>
            </w:r>
          </w:p>
        </w:tc>
        <w:tc>
          <w:tcPr>
            <w:tcW w:w="8020" w:type="dxa"/>
            <w:gridSpan w:val="5"/>
          </w:tcPr>
          <w:p>
            <w:pPr>
              <w:spacing w:line="520" w:lineRule="exact"/>
              <w:ind w:firstLine="560" w:firstLineChars="200"/>
              <w:outlineLvl w:val="0"/>
              <w:rPr>
                <w:bCs/>
                <w:color w:val="auto"/>
                <w:sz w:val="28"/>
                <w:szCs w:val="28"/>
              </w:rPr>
            </w:pPr>
            <w:r>
              <w:rPr>
                <w:bCs/>
                <w:color w:val="auto"/>
                <w:sz w:val="28"/>
                <w:szCs w:val="28"/>
              </w:rPr>
              <w:t>加强日常运营、管理是控制环境污染的必要手段。本项目应设有专职或兼职的环境管理人员一名，从事运营期间的环境管理工作，随时管理与监督运营期的环境问题，并及时向建设单位及生态环境主管部门提供反馈信息，以保证预期的社会经济效果和各种环境保护措施的有效实施。</w:t>
            </w:r>
          </w:p>
          <w:p>
            <w:pPr>
              <w:spacing w:line="520" w:lineRule="exact"/>
              <w:ind w:firstLine="560" w:firstLineChars="200"/>
              <w:outlineLvl w:val="0"/>
              <w:rPr>
                <w:bCs/>
                <w:color w:val="auto"/>
                <w:sz w:val="28"/>
                <w:szCs w:val="28"/>
              </w:rPr>
            </w:pPr>
            <w:r>
              <w:rPr>
                <w:bCs/>
                <w:color w:val="auto"/>
                <w:sz w:val="28"/>
                <w:szCs w:val="28"/>
              </w:rPr>
              <w:t>环境管理实施细则：</w:t>
            </w:r>
          </w:p>
          <w:p>
            <w:pPr>
              <w:spacing w:line="520" w:lineRule="exact"/>
              <w:ind w:firstLine="560" w:firstLineChars="200"/>
              <w:outlineLvl w:val="0"/>
              <w:rPr>
                <w:bCs/>
                <w:color w:val="auto"/>
                <w:sz w:val="28"/>
                <w:szCs w:val="28"/>
              </w:rPr>
            </w:pPr>
            <w:r>
              <w:rPr>
                <w:bCs/>
                <w:color w:val="auto"/>
                <w:sz w:val="28"/>
                <w:szCs w:val="28"/>
              </w:rPr>
              <w:t>（1）贯彻执行环保法规和有关文件及标准。</w:t>
            </w:r>
          </w:p>
          <w:p>
            <w:pPr>
              <w:spacing w:line="520" w:lineRule="exact"/>
              <w:ind w:firstLine="560" w:firstLineChars="200"/>
              <w:outlineLvl w:val="0"/>
              <w:rPr>
                <w:bCs/>
                <w:color w:val="auto"/>
                <w:sz w:val="28"/>
                <w:szCs w:val="28"/>
              </w:rPr>
            </w:pPr>
            <w:r>
              <w:rPr>
                <w:bCs/>
                <w:color w:val="auto"/>
                <w:sz w:val="28"/>
                <w:szCs w:val="28"/>
              </w:rPr>
              <w:t>（2）制定本项目的环境保护管理规章制度，建立健全各环保消防岗位责任制。</w:t>
            </w:r>
          </w:p>
          <w:p>
            <w:pPr>
              <w:spacing w:line="520" w:lineRule="exact"/>
              <w:ind w:firstLine="560" w:firstLineChars="200"/>
              <w:outlineLvl w:val="0"/>
              <w:rPr>
                <w:bCs/>
                <w:color w:val="auto"/>
                <w:sz w:val="28"/>
                <w:szCs w:val="28"/>
              </w:rPr>
            </w:pPr>
            <w:r>
              <w:rPr>
                <w:bCs/>
                <w:color w:val="auto"/>
                <w:sz w:val="28"/>
                <w:szCs w:val="28"/>
              </w:rPr>
              <w:t>（3）组织本项目的环境监测。</w:t>
            </w:r>
          </w:p>
          <w:p>
            <w:pPr>
              <w:spacing w:line="520" w:lineRule="exact"/>
              <w:ind w:firstLine="560" w:firstLineChars="200"/>
              <w:outlineLvl w:val="0"/>
              <w:rPr>
                <w:bCs/>
                <w:color w:val="auto"/>
                <w:sz w:val="28"/>
                <w:szCs w:val="28"/>
              </w:rPr>
            </w:pPr>
            <w:r>
              <w:rPr>
                <w:bCs/>
                <w:color w:val="auto"/>
                <w:sz w:val="28"/>
                <w:szCs w:val="28"/>
              </w:rPr>
              <w:t>（4）定期检查本项目</w:t>
            </w:r>
            <w:r>
              <w:rPr>
                <w:rFonts w:hint="eastAsia"/>
                <w:bCs/>
                <w:color w:val="auto"/>
                <w:sz w:val="28"/>
                <w:szCs w:val="28"/>
              </w:rPr>
              <w:t>各个</w:t>
            </w:r>
            <w:r>
              <w:rPr>
                <w:bCs/>
                <w:color w:val="auto"/>
                <w:sz w:val="28"/>
                <w:szCs w:val="28"/>
              </w:rPr>
              <w:t>设施的运行情况是否正常，确保环保消防设施正常、稳定运行。</w:t>
            </w:r>
          </w:p>
          <w:p>
            <w:pPr>
              <w:spacing w:line="520" w:lineRule="exact"/>
              <w:ind w:firstLine="560" w:firstLineChars="200"/>
              <w:outlineLvl w:val="0"/>
              <w:rPr>
                <w:color w:val="auto"/>
                <w:sz w:val="28"/>
                <w:szCs w:val="28"/>
              </w:rPr>
            </w:pPr>
            <w:r>
              <w:rPr>
                <w:bCs/>
                <w:color w:val="auto"/>
                <w:sz w:val="28"/>
                <w:szCs w:val="28"/>
              </w:rPr>
              <w:t>（5）加强工作人员业务培训，严格接照操作规程作业，防止污染及风险事故发生。</w:t>
            </w:r>
          </w:p>
        </w:tc>
      </w:tr>
    </w:tbl>
    <w:p>
      <w:pPr>
        <w:pStyle w:val="15"/>
        <w:jc w:val="center"/>
        <w:outlineLvl w:val="0"/>
        <w:rPr>
          <w:rFonts w:ascii="黑体" w:hAnsi="黑体" w:eastAsia="黑体"/>
          <w:snapToGrid w:val="0"/>
          <w:color w:val="auto"/>
          <w:sz w:val="30"/>
          <w:szCs w:val="30"/>
        </w:rPr>
      </w:pPr>
      <w:r>
        <w:rPr>
          <w:snapToGrid w:val="0"/>
          <w:color w:val="auto"/>
        </w:rPr>
        <w:br w:type="page"/>
      </w:r>
      <w:r>
        <w:rPr>
          <w:rFonts w:hint="eastAsia" w:ascii="黑体" w:hAnsi="黑体" w:eastAsia="黑体"/>
          <w:snapToGrid w:val="0"/>
          <w:color w:val="auto"/>
          <w:sz w:val="30"/>
          <w:szCs w:val="30"/>
        </w:rPr>
        <w:t>六、结论</w:t>
      </w:r>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tcPr>
          <w:p>
            <w:pPr>
              <w:spacing w:line="520" w:lineRule="exact"/>
              <w:ind w:firstLine="560" w:firstLineChars="200"/>
              <w:rPr>
                <w:rFonts w:ascii="宋体" w:cs="宋体"/>
                <w:color w:val="auto"/>
                <w:sz w:val="24"/>
              </w:rPr>
            </w:pPr>
            <w:r>
              <w:rPr>
                <w:rFonts w:ascii="宋体" w:cs="宋体"/>
                <w:color w:val="auto"/>
                <w:sz w:val="28"/>
                <w:szCs w:val="28"/>
              </w:rPr>
              <w:t>综上所述，</w:t>
            </w:r>
            <w:r>
              <w:rPr>
                <w:rFonts w:hint="eastAsia" w:ascii="宋体" w:cs="宋体"/>
                <w:color w:val="auto"/>
                <w:sz w:val="28"/>
                <w:szCs w:val="28"/>
              </w:rPr>
              <w:t>本环评</w:t>
            </w:r>
            <w:r>
              <w:rPr>
                <w:rFonts w:ascii="宋体" w:cs="宋体"/>
                <w:color w:val="auto"/>
                <w:sz w:val="28"/>
                <w:szCs w:val="28"/>
              </w:rPr>
              <w:t>认为，</w:t>
            </w:r>
            <w:r>
              <w:rPr>
                <w:rFonts w:hint="eastAsia" w:ascii="宋体" w:cs="宋体"/>
                <w:color w:val="auto"/>
                <w:sz w:val="28"/>
                <w:szCs w:val="28"/>
              </w:rPr>
              <w:t>该</w:t>
            </w:r>
            <w:r>
              <w:rPr>
                <w:rFonts w:ascii="宋体" w:cs="宋体"/>
                <w:color w:val="auto"/>
                <w:sz w:val="28"/>
                <w:szCs w:val="28"/>
              </w:rPr>
              <w:t>项目符合国家产业政策。</w:t>
            </w:r>
            <w:r>
              <w:rPr>
                <w:rFonts w:hint="eastAsia" w:ascii="宋体" w:cs="宋体"/>
                <w:color w:val="auto"/>
                <w:sz w:val="28"/>
                <w:szCs w:val="28"/>
              </w:rPr>
              <w:t>项目采用的废气处理工艺技术可行</w:t>
            </w:r>
            <w:r>
              <w:rPr>
                <w:rFonts w:ascii="宋体" w:cs="宋体"/>
                <w:color w:val="auto"/>
                <w:sz w:val="28"/>
                <w:szCs w:val="28"/>
              </w:rPr>
              <w:t>，对环境影响较小</w:t>
            </w:r>
            <w:r>
              <w:rPr>
                <w:rFonts w:hint="eastAsia" w:ascii="宋体" w:cs="宋体"/>
                <w:color w:val="auto"/>
                <w:sz w:val="28"/>
                <w:szCs w:val="28"/>
              </w:rPr>
              <w:t>。针对项目在运营期间产生的污染情况，</w:t>
            </w:r>
            <w:r>
              <w:rPr>
                <w:rFonts w:ascii="宋体" w:cs="宋体"/>
                <w:color w:val="auto"/>
                <w:sz w:val="28"/>
                <w:szCs w:val="28"/>
              </w:rPr>
              <w:t>采取相应的污染治理措施技术可行，措施有效。工程实施后不会对环境空气、地表水、声环境产生</w:t>
            </w:r>
            <w:r>
              <w:rPr>
                <w:rFonts w:hint="eastAsia" w:ascii="宋体" w:cs="宋体"/>
                <w:color w:val="auto"/>
                <w:sz w:val="28"/>
                <w:szCs w:val="28"/>
              </w:rPr>
              <w:t>较大</w:t>
            </w:r>
            <w:r>
              <w:rPr>
                <w:rFonts w:ascii="宋体" w:cs="宋体"/>
                <w:color w:val="auto"/>
                <w:sz w:val="28"/>
                <w:szCs w:val="28"/>
              </w:rPr>
              <w:t>影响。同时，</w:t>
            </w:r>
            <w:r>
              <w:rPr>
                <w:rFonts w:hint="eastAsia" w:ascii="宋体" w:cs="宋体"/>
                <w:color w:val="auto"/>
                <w:sz w:val="28"/>
                <w:szCs w:val="28"/>
              </w:rPr>
              <w:t>项目</w:t>
            </w:r>
            <w:r>
              <w:rPr>
                <w:rFonts w:ascii="宋体" w:cs="宋体"/>
                <w:color w:val="auto"/>
                <w:sz w:val="28"/>
                <w:szCs w:val="28"/>
              </w:rPr>
              <w:t>周围没有较大的污染源存在，环境质量较好。因此，从环境保护的角度而言，</w:t>
            </w:r>
            <w:r>
              <w:rPr>
                <w:rFonts w:hint="eastAsia" w:ascii="宋体" w:cs="宋体"/>
                <w:color w:val="auto"/>
                <w:sz w:val="28"/>
                <w:szCs w:val="28"/>
              </w:rPr>
              <w:t>该项目的建设是可行的。</w:t>
            </w:r>
          </w:p>
        </w:tc>
      </w:tr>
    </w:tbl>
    <w:p>
      <w:pPr>
        <w:rPr>
          <w:rFonts w:ascii="宋体"/>
          <w:color w:val="auto"/>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5"/>
        <w:adjustRightInd w:val="0"/>
        <w:snapToGrid w:val="0"/>
        <w:spacing w:before="0" w:beforeAutospacing="0" w:after="0" w:afterAutospacing="0" w:line="648" w:lineRule="auto"/>
        <w:outlineLvl w:val="0"/>
        <w:rPr>
          <w:rFonts w:ascii="黑体" w:hAnsi="黑体" w:eastAsia="黑体"/>
          <w:snapToGrid w:val="0"/>
          <w:color w:val="auto"/>
          <w:sz w:val="32"/>
          <w:szCs w:val="32"/>
        </w:rPr>
      </w:pPr>
      <w:r>
        <w:rPr>
          <w:rFonts w:hint="eastAsia" w:ascii="黑体" w:hAnsi="黑体" w:eastAsia="黑体"/>
          <w:snapToGrid w:val="0"/>
          <w:color w:val="auto"/>
          <w:sz w:val="32"/>
          <w:szCs w:val="32"/>
        </w:rPr>
        <w:t>附表</w:t>
      </w:r>
    </w:p>
    <w:p>
      <w:pPr>
        <w:pStyle w:val="15"/>
        <w:adjustRightInd w:val="0"/>
        <w:snapToGrid w:val="0"/>
        <w:spacing w:before="0" w:beforeAutospacing="0" w:after="0" w:afterAutospacing="0" w:line="360" w:lineRule="auto"/>
        <w:jc w:val="center"/>
        <w:outlineLvl w:val="0"/>
        <w:rPr>
          <w:rFonts w:ascii="方正小标宋_GBK" w:hAnsi="黑体" w:eastAsia="方正小标宋_GBK"/>
          <w:snapToGrid w:val="0"/>
          <w:color w:val="auto"/>
          <w:sz w:val="38"/>
          <w:szCs w:val="38"/>
        </w:rPr>
      </w:pPr>
      <w:r>
        <w:rPr>
          <w:rFonts w:hint="eastAsia" w:ascii="方正小标宋_GBK" w:hAnsi="黑体" w:eastAsia="方正小标宋_GBK"/>
          <w:snapToGrid w:val="0"/>
          <w:color w:val="auto"/>
          <w:sz w:val="38"/>
          <w:szCs w:val="38"/>
        </w:rPr>
        <w:t>建设项目污染物排放量汇总表</w:t>
      </w:r>
    </w:p>
    <w:tbl>
      <w:tblPr>
        <w:tblStyle w:val="18"/>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64"/>
        <w:gridCol w:w="1725"/>
        <w:gridCol w:w="1617"/>
        <w:gridCol w:w="1276"/>
        <w:gridCol w:w="1587"/>
        <w:gridCol w:w="1673"/>
        <w:gridCol w:w="1544"/>
        <w:gridCol w:w="1785"/>
        <w:gridCol w:w="121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364" w:type="dxa"/>
            <w:tcBorders>
              <w:tl2br w:val="single" w:color="auto" w:sz="4" w:space="0"/>
            </w:tcBorders>
            <w:tcMar>
              <w:left w:w="28" w:type="dxa"/>
              <w:right w:w="28" w:type="dxa"/>
            </w:tcMar>
            <w:vAlign w:val="center"/>
          </w:tcPr>
          <w:p>
            <w:pPr>
              <w:pStyle w:val="47"/>
              <w:spacing w:beforeLines="0" w:afterLines="0" w:line="240" w:lineRule="auto"/>
              <w:jc w:val="right"/>
              <w:rPr>
                <w:rFonts w:ascii="Times New Roman" w:eastAsia="黑体"/>
                <w:snapToGrid w:val="0"/>
                <w:color w:val="auto"/>
                <w:spacing w:val="-6"/>
                <w:kern w:val="21"/>
                <w:szCs w:val="21"/>
              </w:rPr>
            </w:pPr>
            <w:r>
              <w:rPr>
                <w:rFonts w:ascii="Times New Roman" w:eastAsia="黑体"/>
                <w:snapToGrid w:val="0"/>
                <w:color w:val="auto"/>
                <w:spacing w:val="-6"/>
                <w:kern w:val="21"/>
                <w:szCs w:val="21"/>
              </w:rPr>
              <w:t>项目</w:t>
            </w:r>
          </w:p>
          <w:p>
            <w:pPr>
              <w:pStyle w:val="47"/>
              <w:spacing w:beforeLines="0" w:afterLines="0" w:line="240" w:lineRule="auto"/>
              <w:jc w:val="left"/>
              <w:rPr>
                <w:rFonts w:ascii="Times New Roman" w:eastAsia="黑体"/>
                <w:snapToGrid w:val="0"/>
                <w:color w:val="auto"/>
                <w:spacing w:val="-6"/>
                <w:kern w:val="21"/>
                <w:szCs w:val="21"/>
              </w:rPr>
            </w:pPr>
            <w:r>
              <w:rPr>
                <w:rFonts w:ascii="Times New Roman" w:eastAsia="黑体"/>
                <w:snapToGrid w:val="0"/>
                <w:color w:val="auto"/>
                <w:spacing w:val="-6"/>
                <w:kern w:val="21"/>
                <w:szCs w:val="21"/>
              </w:rPr>
              <w:t>分类</w:t>
            </w:r>
          </w:p>
        </w:tc>
        <w:tc>
          <w:tcPr>
            <w:tcW w:w="1725"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污染物名称</w:t>
            </w:r>
          </w:p>
        </w:tc>
        <w:tc>
          <w:tcPr>
            <w:tcW w:w="1617"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现有工程</w:t>
            </w:r>
          </w:p>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1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①</w:t>
            </w:r>
            <w:r>
              <w:rPr>
                <w:rFonts w:ascii="Times New Roman" w:eastAsia="黑体"/>
                <w:snapToGrid w:val="0"/>
                <w:color w:val="auto"/>
                <w:spacing w:val="-6"/>
                <w:kern w:val="21"/>
                <w:szCs w:val="21"/>
              </w:rPr>
              <w:fldChar w:fldCharType="end"/>
            </w:r>
          </w:p>
        </w:tc>
        <w:tc>
          <w:tcPr>
            <w:tcW w:w="1276"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现有工程</w:t>
            </w:r>
          </w:p>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许可排放量</w:t>
            </w:r>
          </w:p>
          <w:p>
            <w:pPr>
              <w:pStyle w:val="47"/>
              <w:spacing w:beforeLines="0" w:afterLines="0"/>
              <w:rPr>
                <w:rFonts w:ascii="Times New Roman" w:eastAsia="黑体"/>
                <w:snapToGrid w:val="0"/>
                <w:color w:val="auto"/>
                <w:spacing w:val="-6"/>
                <w:kern w:val="21"/>
                <w:szCs w:val="21"/>
              </w:rPr>
            </w:pP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2 \* GB3 \* MERGEFORMAT </w:instrText>
            </w:r>
            <w:r>
              <w:rPr>
                <w:rFonts w:ascii="Times New Roman" w:eastAsia="黑体"/>
                <w:snapToGrid w:val="0"/>
                <w:color w:val="auto"/>
                <w:spacing w:val="-6"/>
                <w:kern w:val="21"/>
                <w:szCs w:val="21"/>
              </w:rPr>
              <w:fldChar w:fldCharType="separate"/>
            </w:r>
            <w:r>
              <w:rPr>
                <w:rFonts w:ascii="Times New Roman" w:eastAsia="黑体"/>
                <w:snapToGrid w:val="0"/>
                <w:color w:val="auto"/>
                <w:spacing w:val="-6"/>
                <w:kern w:val="21"/>
                <w:szCs w:val="21"/>
              </w:rPr>
              <w:t>②</w:t>
            </w:r>
            <w:r>
              <w:rPr>
                <w:rFonts w:ascii="Times New Roman" w:eastAsia="黑体"/>
                <w:snapToGrid w:val="0"/>
                <w:color w:val="auto"/>
                <w:spacing w:val="-6"/>
                <w:kern w:val="21"/>
                <w:szCs w:val="21"/>
              </w:rPr>
              <w:fldChar w:fldCharType="end"/>
            </w:r>
          </w:p>
        </w:tc>
        <w:tc>
          <w:tcPr>
            <w:tcW w:w="1587"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在建工程</w:t>
            </w:r>
          </w:p>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3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③</w:t>
            </w:r>
            <w:r>
              <w:rPr>
                <w:rFonts w:ascii="Times New Roman" w:eastAsia="黑体"/>
                <w:snapToGrid w:val="0"/>
                <w:color w:val="auto"/>
                <w:spacing w:val="-6"/>
                <w:kern w:val="21"/>
                <w:szCs w:val="21"/>
              </w:rPr>
              <w:fldChar w:fldCharType="end"/>
            </w:r>
          </w:p>
        </w:tc>
        <w:tc>
          <w:tcPr>
            <w:tcW w:w="1673"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本项目</w:t>
            </w:r>
          </w:p>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排放量（固体废物产生量）</w:t>
            </w: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4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④</w:t>
            </w:r>
            <w:r>
              <w:rPr>
                <w:rFonts w:ascii="Times New Roman" w:eastAsia="黑体"/>
                <w:snapToGrid w:val="0"/>
                <w:color w:val="auto"/>
                <w:spacing w:val="-6"/>
                <w:kern w:val="21"/>
                <w:szCs w:val="21"/>
              </w:rPr>
              <w:fldChar w:fldCharType="end"/>
            </w:r>
          </w:p>
        </w:tc>
        <w:tc>
          <w:tcPr>
            <w:tcW w:w="1544" w:type="dxa"/>
            <w:tcMar>
              <w:left w:w="28" w:type="dxa"/>
              <w:right w:w="28" w:type="dxa"/>
            </w:tcMar>
            <w:vAlign w:val="center"/>
          </w:tcPr>
          <w:p>
            <w:pPr>
              <w:pStyle w:val="47"/>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以新带老削减量</w:t>
            </w:r>
          </w:p>
          <w:p>
            <w:pPr>
              <w:pStyle w:val="47"/>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（新建项目不填）</w:t>
            </w:r>
            <w:r>
              <w:rPr>
                <w:rFonts w:ascii="Times New Roman" w:eastAsia="黑体"/>
                <w:snapToGrid w:val="0"/>
                <w:color w:val="auto"/>
                <w:spacing w:val="-16"/>
                <w:kern w:val="21"/>
                <w:szCs w:val="21"/>
              </w:rPr>
              <w:fldChar w:fldCharType="begin"/>
            </w:r>
            <w:r>
              <w:rPr>
                <w:rFonts w:ascii="Times New Roman" w:eastAsia="黑体"/>
                <w:snapToGrid w:val="0"/>
                <w:color w:val="auto"/>
                <w:spacing w:val="-16"/>
                <w:kern w:val="21"/>
                <w:szCs w:val="21"/>
              </w:rPr>
              <w:instrText xml:space="preserve"> = 5 \* GB3 \* MERGEFORMAT </w:instrText>
            </w:r>
            <w:r>
              <w:rPr>
                <w:rFonts w:ascii="Times New Roman" w:eastAsia="黑体"/>
                <w:snapToGrid w:val="0"/>
                <w:color w:val="auto"/>
                <w:spacing w:val="-16"/>
                <w:kern w:val="21"/>
                <w:szCs w:val="21"/>
              </w:rPr>
              <w:fldChar w:fldCharType="separate"/>
            </w:r>
            <w:r>
              <w:rPr>
                <w:rFonts w:ascii="Times New Roman" w:eastAsia="黑体"/>
                <w:color w:val="auto"/>
                <w:kern w:val="2"/>
                <w:szCs w:val="21"/>
              </w:rPr>
              <w:t>⑤</w:t>
            </w:r>
            <w:r>
              <w:rPr>
                <w:rFonts w:ascii="Times New Roman" w:eastAsia="黑体"/>
                <w:snapToGrid w:val="0"/>
                <w:color w:val="auto"/>
                <w:spacing w:val="-16"/>
                <w:kern w:val="21"/>
                <w:szCs w:val="21"/>
              </w:rPr>
              <w:fldChar w:fldCharType="end"/>
            </w:r>
          </w:p>
        </w:tc>
        <w:tc>
          <w:tcPr>
            <w:tcW w:w="1785" w:type="dxa"/>
            <w:tcMar>
              <w:left w:w="28" w:type="dxa"/>
              <w:right w:w="28" w:type="dxa"/>
            </w:tcMar>
            <w:vAlign w:val="center"/>
          </w:tcPr>
          <w:p>
            <w:pPr>
              <w:pStyle w:val="47"/>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本项目建成后</w:t>
            </w:r>
          </w:p>
          <w:p>
            <w:pPr>
              <w:pStyle w:val="47"/>
              <w:spacing w:beforeLines="0" w:afterLines="0" w:line="240" w:lineRule="auto"/>
              <w:rPr>
                <w:rFonts w:ascii="Times New Roman" w:eastAsia="黑体"/>
                <w:snapToGrid w:val="0"/>
                <w:color w:val="auto"/>
                <w:spacing w:val="-16"/>
                <w:kern w:val="21"/>
                <w:szCs w:val="21"/>
              </w:rPr>
            </w:pPr>
            <w:r>
              <w:rPr>
                <w:rFonts w:ascii="Times New Roman" w:eastAsia="黑体"/>
                <w:snapToGrid w:val="0"/>
                <w:color w:val="auto"/>
                <w:spacing w:val="-16"/>
                <w:kern w:val="21"/>
                <w:szCs w:val="21"/>
              </w:rPr>
              <w:t>全厂排放量（固体废物产生量）</w:t>
            </w:r>
            <w:r>
              <w:rPr>
                <w:rFonts w:ascii="Times New Roman" w:eastAsia="黑体"/>
                <w:snapToGrid w:val="0"/>
                <w:color w:val="auto"/>
                <w:spacing w:val="-16"/>
                <w:kern w:val="21"/>
                <w:szCs w:val="21"/>
              </w:rPr>
              <w:fldChar w:fldCharType="begin"/>
            </w:r>
            <w:r>
              <w:rPr>
                <w:rFonts w:ascii="Times New Roman" w:eastAsia="黑体"/>
                <w:snapToGrid w:val="0"/>
                <w:color w:val="auto"/>
                <w:spacing w:val="-16"/>
                <w:kern w:val="21"/>
                <w:szCs w:val="21"/>
              </w:rPr>
              <w:instrText xml:space="preserve"> = 6 \* GB3 \* MERGEFORMAT </w:instrText>
            </w:r>
            <w:r>
              <w:rPr>
                <w:rFonts w:ascii="Times New Roman" w:eastAsia="黑体"/>
                <w:snapToGrid w:val="0"/>
                <w:color w:val="auto"/>
                <w:spacing w:val="-16"/>
                <w:kern w:val="21"/>
                <w:szCs w:val="21"/>
              </w:rPr>
              <w:fldChar w:fldCharType="separate"/>
            </w:r>
            <w:r>
              <w:rPr>
                <w:rFonts w:ascii="Times New Roman" w:eastAsia="黑体"/>
                <w:color w:val="auto"/>
                <w:kern w:val="2"/>
                <w:szCs w:val="21"/>
              </w:rPr>
              <w:t>⑥</w:t>
            </w:r>
            <w:r>
              <w:rPr>
                <w:rFonts w:ascii="Times New Roman" w:eastAsia="黑体"/>
                <w:snapToGrid w:val="0"/>
                <w:color w:val="auto"/>
                <w:spacing w:val="-16"/>
                <w:kern w:val="21"/>
                <w:szCs w:val="21"/>
              </w:rPr>
              <w:fldChar w:fldCharType="end"/>
            </w:r>
          </w:p>
        </w:tc>
        <w:tc>
          <w:tcPr>
            <w:tcW w:w="1217" w:type="dxa"/>
            <w:tcMar>
              <w:left w:w="28" w:type="dxa"/>
              <w:right w:w="28" w:type="dxa"/>
            </w:tcMar>
            <w:vAlign w:val="center"/>
          </w:tcPr>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t>变化量</w:t>
            </w:r>
          </w:p>
          <w:p>
            <w:pPr>
              <w:pStyle w:val="47"/>
              <w:spacing w:beforeLines="0" w:afterLines="0" w:line="240" w:lineRule="auto"/>
              <w:rPr>
                <w:rFonts w:ascii="Times New Roman" w:eastAsia="黑体"/>
                <w:snapToGrid w:val="0"/>
                <w:color w:val="auto"/>
                <w:spacing w:val="-6"/>
                <w:kern w:val="21"/>
                <w:szCs w:val="21"/>
              </w:rPr>
            </w:pPr>
            <w:r>
              <w:rPr>
                <w:rFonts w:ascii="Times New Roman" w:eastAsia="黑体"/>
                <w:snapToGrid w:val="0"/>
                <w:color w:val="auto"/>
                <w:spacing w:val="-6"/>
                <w:kern w:val="21"/>
                <w:szCs w:val="21"/>
              </w:rPr>
              <w:fldChar w:fldCharType="begin"/>
            </w:r>
            <w:r>
              <w:rPr>
                <w:rFonts w:ascii="Times New Roman" w:eastAsia="黑体"/>
                <w:snapToGrid w:val="0"/>
                <w:color w:val="auto"/>
                <w:spacing w:val="-6"/>
                <w:kern w:val="21"/>
                <w:szCs w:val="21"/>
              </w:rPr>
              <w:instrText xml:space="preserve"> = 7 \* GB3 \* MERGEFORMAT </w:instrText>
            </w:r>
            <w:r>
              <w:rPr>
                <w:rFonts w:ascii="Times New Roman" w:eastAsia="黑体"/>
                <w:snapToGrid w:val="0"/>
                <w:color w:val="auto"/>
                <w:spacing w:val="-6"/>
                <w:kern w:val="21"/>
                <w:szCs w:val="21"/>
              </w:rPr>
              <w:fldChar w:fldCharType="separate"/>
            </w:r>
            <w:r>
              <w:rPr>
                <w:rFonts w:ascii="Times New Roman" w:eastAsia="黑体"/>
                <w:color w:val="auto"/>
                <w:kern w:val="2"/>
                <w:szCs w:val="21"/>
              </w:rPr>
              <w:t>⑦</w:t>
            </w:r>
            <w:r>
              <w:rPr>
                <w:rFonts w:ascii="Times New Roman" w:eastAsia="黑体"/>
                <w:snapToGrid w:val="0"/>
                <w:color w:val="auto"/>
                <w:spacing w:val="-6"/>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364" w:type="dxa"/>
            <w:vMerge w:val="restart"/>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废气</w:t>
            </w:r>
          </w:p>
        </w:tc>
        <w:tc>
          <w:tcPr>
            <w:tcW w:w="1725" w:type="dxa"/>
            <w:vMerge w:val="restart"/>
            <w:vAlign w:val="center"/>
          </w:tcPr>
          <w:p>
            <w:pPr>
              <w:pStyle w:val="59"/>
              <w:rPr>
                <w:color w:val="auto"/>
                <w:kern w:val="0"/>
                <w:sz w:val="21"/>
                <w:szCs w:val="21"/>
              </w:rPr>
            </w:pPr>
            <w:r>
              <w:rPr>
                <w:rFonts w:hint="eastAsia"/>
                <w:color w:val="auto"/>
                <w:kern w:val="0"/>
                <w:sz w:val="21"/>
                <w:szCs w:val="21"/>
              </w:rPr>
              <w:t>非甲烷总烃</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jc w:val="center"/>
              <w:rPr>
                <w:color w:val="auto"/>
                <w:kern w:val="0"/>
                <w:szCs w:val="21"/>
              </w:rPr>
            </w:pPr>
            <w:r>
              <w:rPr>
                <w:rFonts w:hint="eastAsia"/>
                <w:color w:val="auto"/>
                <w:kern w:val="0"/>
                <w:szCs w:val="21"/>
              </w:rPr>
              <w:t>1.98</w:t>
            </w:r>
            <w:r>
              <w:rPr>
                <w:color w:val="auto"/>
                <w:kern w:val="0"/>
                <w:szCs w:val="21"/>
              </w:rPr>
              <w:t>t/a</w:t>
            </w:r>
            <w:r>
              <w:rPr>
                <w:rFonts w:hint="eastAsia"/>
                <w:color w:val="auto"/>
                <w:kern w:val="0"/>
                <w:szCs w:val="21"/>
              </w:rPr>
              <w:t>（有组织）</w:t>
            </w:r>
          </w:p>
        </w:tc>
        <w:tc>
          <w:tcPr>
            <w:tcW w:w="1544"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w:t>
            </w:r>
          </w:p>
        </w:tc>
        <w:tc>
          <w:tcPr>
            <w:tcW w:w="1785" w:type="dxa"/>
            <w:vAlign w:val="center"/>
          </w:tcPr>
          <w:p>
            <w:pPr>
              <w:jc w:val="center"/>
              <w:rPr>
                <w:color w:val="auto"/>
                <w:kern w:val="0"/>
                <w:szCs w:val="21"/>
                <w:highlight w:val="yellow"/>
              </w:rPr>
            </w:pPr>
            <w:r>
              <w:rPr>
                <w:rFonts w:hint="eastAsia"/>
                <w:color w:val="auto"/>
                <w:kern w:val="0"/>
                <w:szCs w:val="21"/>
              </w:rPr>
              <w:t>1.98</w:t>
            </w:r>
            <w:r>
              <w:rPr>
                <w:color w:val="auto"/>
                <w:kern w:val="0"/>
                <w:szCs w:val="21"/>
              </w:rPr>
              <w:t>t/a</w:t>
            </w:r>
          </w:p>
        </w:tc>
        <w:tc>
          <w:tcPr>
            <w:tcW w:w="1217" w:type="dxa"/>
            <w:vAlign w:val="center"/>
          </w:tcPr>
          <w:p>
            <w:pPr>
              <w:jc w:val="center"/>
              <w:rPr>
                <w:color w:val="auto"/>
                <w:kern w:val="0"/>
                <w:szCs w:val="21"/>
                <w:highlight w:val="yellow"/>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1364" w:type="dxa"/>
            <w:vMerge w:val="continue"/>
            <w:vAlign w:val="center"/>
          </w:tcPr>
          <w:p>
            <w:pPr>
              <w:jc w:val="center"/>
              <w:rPr>
                <w:color w:val="auto"/>
              </w:rPr>
            </w:pPr>
          </w:p>
        </w:tc>
        <w:tc>
          <w:tcPr>
            <w:tcW w:w="1725" w:type="dxa"/>
            <w:vMerge w:val="continue"/>
            <w:vAlign w:val="center"/>
          </w:tcPr>
          <w:p>
            <w:pPr>
              <w:jc w:val="center"/>
              <w:rPr>
                <w:color w:val="auto"/>
              </w:rPr>
            </w:pP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jc w:val="center"/>
              <w:rPr>
                <w:snapToGrid w:val="0"/>
                <w:color w:val="auto"/>
                <w:kern w:val="21"/>
                <w:szCs w:val="21"/>
              </w:rPr>
            </w:pPr>
            <w:r>
              <w:rPr>
                <w:rFonts w:hint="eastAsia"/>
                <w:snapToGrid w:val="0"/>
                <w:color w:val="auto"/>
                <w:kern w:val="21"/>
                <w:szCs w:val="21"/>
              </w:rPr>
              <w:t>0.3</w:t>
            </w:r>
            <w:r>
              <w:rPr>
                <w:color w:val="auto"/>
                <w:kern w:val="0"/>
                <w:szCs w:val="21"/>
              </w:rPr>
              <w:t>t/a</w:t>
            </w:r>
            <w:r>
              <w:rPr>
                <w:rFonts w:hint="eastAsia"/>
                <w:color w:val="auto"/>
                <w:kern w:val="0"/>
                <w:szCs w:val="21"/>
              </w:rPr>
              <w:t>（无组织）</w:t>
            </w:r>
          </w:p>
        </w:tc>
        <w:tc>
          <w:tcPr>
            <w:tcW w:w="1544" w:type="dxa"/>
            <w:vAlign w:val="center"/>
          </w:tcPr>
          <w:p>
            <w:pPr>
              <w:jc w:val="center"/>
              <w:rPr>
                <w:snapToGrid w:val="0"/>
                <w:color w:val="auto"/>
                <w:kern w:val="21"/>
                <w:szCs w:val="21"/>
              </w:rPr>
            </w:pPr>
            <w:r>
              <w:rPr>
                <w:rFonts w:hint="eastAsia"/>
                <w:snapToGrid w:val="0"/>
                <w:color w:val="auto"/>
                <w:kern w:val="21"/>
                <w:szCs w:val="21"/>
              </w:rPr>
              <w:t>/</w:t>
            </w:r>
          </w:p>
        </w:tc>
        <w:tc>
          <w:tcPr>
            <w:tcW w:w="1785" w:type="dxa"/>
            <w:vAlign w:val="center"/>
          </w:tcPr>
          <w:p>
            <w:pPr>
              <w:jc w:val="center"/>
              <w:rPr>
                <w:snapToGrid w:val="0"/>
                <w:color w:val="auto"/>
                <w:kern w:val="21"/>
                <w:szCs w:val="21"/>
              </w:rPr>
            </w:pPr>
            <w:r>
              <w:rPr>
                <w:rFonts w:hint="eastAsia"/>
                <w:snapToGrid w:val="0"/>
                <w:color w:val="auto"/>
                <w:kern w:val="21"/>
                <w:szCs w:val="21"/>
              </w:rPr>
              <w:t>0.3</w:t>
            </w:r>
          </w:p>
        </w:tc>
        <w:tc>
          <w:tcPr>
            <w:tcW w:w="1217" w:type="dxa"/>
            <w:vAlign w:val="center"/>
          </w:tcPr>
          <w:p>
            <w:pPr>
              <w:jc w:val="center"/>
              <w:rPr>
                <w:snapToGrid w:val="0"/>
                <w:color w:val="auto"/>
                <w:kern w:val="21"/>
                <w:szCs w:val="21"/>
              </w:rPr>
            </w:pPr>
            <w:r>
              <w:rPr>
                <w:rFonts w:hint="eastAsia"/>
                <w:snapToGrid w:val="0"/>
                <w:color w:val="auto"/>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59"/>
              <w:rPr>
                <w:color w:val="auto"/>
                <w:kern w:val="0"/>
                <w:sz w:val="21"/>
                <w:szCs w:val="21"/>
              </w:rPr>
            </w:pPr>
            <w:r>
              <w:rPr>
                <w:rFonts w:hint="eastAsia"/>
                <w:color w:val="auto"/>
                <w:kern w:val="0"/>
                <w:sz w:val="21"/>
                <w:szCs w:val="21"/>
              </w:rPr>
              <w:t>油烟排放量</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jc w:val="center"/>
              <w:rPr>
                <w:color w:val="auto"/>
                <w:kern w:val="0"/>
                <w:szCs w:val="21"/>
              </w:rPr>
            </w:pPr>
            <w:r>
              <w:rPr>
                <w:rFonts w:hint="eastAsia"/>
                <w:color w:val="auto"/>
                <w:kern w:val="0"/>
                <w:szCs w:val="21"/>
              </w:rPr>
              <w:t>0.00125</w:t>
            </w:r>
            <w:r>
              <w:rPr>
                <w:color w:val="auto"/>
                <w:kern w:val="0"/>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jc w:val="center"/>
              <w:rPr>
                <w:color w:val="auto"/>
                <w:kern w:val="0"/>
                <w:szCs w:val="21"/>
              </w:rPr>
            </w:pPr>
            <w:r>
              <w:rPr>
                <w:rFonts w:hint="eastAsia"/>
                <w:color w:val="auto"/>
                <w:kern w:val="0"/>
                <w:szCs w:val="21"/>
              </w:rPr>
              <w:t>0.00125</w:t>
            </w:r>
            <w:r>
              <w:rPr>
                <w:color w:val="auto"/>
                <w:kern w:val="0"/>
                <w:szCs w:val="21"/>
              </w:rPr>
              <w:t>t/a</w:t>
            </w:r>
          </w:p>
        </w:tc>
        <w:tc>
          <w:tcPr>
            <w:tcW w:w="1217" w:type="dxa"/>
            <w:vAlign w:val="center"/>
          </w:tcPr>
          <w:p>
            <w:pPr>
              <w:jc w:val="center"/>
              <w:rPr>
                <w:color w:val="auto"/>
                <w:kern w:val="0"/>
                <w:szCs w:val="21"/>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jc w:val="center"/>
              <w:rPr>
                <w:color w:val="auto"/>
                <w:kern w:val="0"/>
                <w:sz w:val="21"/>
                <w:szCs w:val="21"/>
              </w:rPr>
            </w:pPr>
            <w:r>
              <w:rPr>
                <w:rFonts w:hint="eastAsia"/>
                <w:color w:val="auto"/>
                <w:szCs w:val="21"/>
              </w:rPr>
              <w:t>二氧化硫</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jc w:val="center"/>
              <w:rPr>
                <w:color w:val="auto"/>
                <w:kern w:val="0"/>
                <w:szCs w:val="21"/>
              </w:rPr>
            </w:pPr>
            <w:r>
              <w:rPr>
                <w:rFonts w:hint="eastAsia"/>
                <w:color w:val="auto"/>
                <w:szCs w:val="21"/>
              </w:rPr>
              <w:t>0.085t/a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jc w:val="center"/>
              <w:rPr>
                <w:color w:val="auto"/>
                <w:kern w:val="0"/>
                <w:szCs w:val="21"/>
              </w:rPr>
            </w:pPr>
            <w:r>
              <w:rPr>
                <w:rFonts w:hint="eastAsia"/>
                <w:color w:val="auto"/>
                <w:szCs w:val="21"/>
              </w:rPr>
              <w:t>0.085t/a</w:t>
            </w:r>
          </w:p>
        </w:tc>
        <w:tc>
          <w:tcPr>
            <w:tcW w:w="1217" w:type="dxa"/>
            <w:vAlign w:val="center"/>
          </w:tcPr>
          <w:p>
            <w:pPr>
              <w:jc w:val="center"/>
              <w:rPr>
                <w:color w:val="auto"/>
                <w:kern w:val="0"/>
                <w:szCs w:val="21"/>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widowControl/>
              <w:jc w:val="center"/>
              <w:rPr>
                <w:color w:val="auto"/>
                <w:kern w:val="0"/>
                <w:sz w:val="21"/>
                <w:szCs w:val="21"/>
              </w:rPr>
            </w:pPr>
            <w:r>
              <w:rPr>
                <w:rFonts w:hint="eastAsia"/>
                <w:color w:val="auto"/>
                <w:kern w:val="0"/>
                <w:szCs w:val="21"/>
                <w:lang w:bidi="ar"/>
              </w:rPr>
              <w:t>颗粒物</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jc w:val="center"/>
              <w:rPr>
                <w:color w:val="auto"/>
                <w:kern w:val="0"/>
                <w:szCs w:val="21"/>
              </w:rPr>
            </w:pPr>
            <w:r>
              <w:rPr>
                <w:rFonts w:hint="eastAsia"/>
                <w:color w:val="auto"/>
                <w:szCs w:val="21"/>
              </w:rPr>
              <w:t>0.00125t/a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jc w:val="center"/>
              <w:rPr>
                <w:color w:val="auto"/>
                <w:kern w:val="0"/>
                <w:szCs w:val="21"/>
              </w:rPr>
            </w:pPr>
            <w:r>
              <w:rPr>
                <w:rFonts w:hint="eastAsia"/>
                <w:color w:val="auto"/>
                <w:szCs w:val="21"/>
              </w:rPr>
              <w:t>0.00125t/a</w:t>
            </w:r>
          </w:p>
        </w:tc>
        <w:tc>
          <w:tcPr>
            <w:tcW w:w="1217" w:type="dxa"/>
            <w:vAlign w:val="center"/>
          </w:tcPr>
          <w:p>
            <w:pPr>
              <w:jc w:val="center"/>
              <w:rPr>
                <w:color w:val="auto"/>
                <w:kern w:val="0"/>
                <w:szCs w:val="21"/>
                <w:highlight w:val="yellow"/>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widowControl/>
              <w:jc w:val="center"/>
              <w:rPr>
                <w:rFonts w:hint="eastAsia"/>
                <w:color w:val="auto"/>
                <w:kern w:val="0"/>
                <w:sz w:val="21"/>
                <w:szCs w:val="21"/>
              </w:rPr>
            </w:pPr>
            <w:r>
              <w:rPr>
                <w:rFonts w:hint="eastAsia"/>
                <w:color w:val="auto"/>
                <w:kern w:val="0"/>
                <w:szCs w:val="21"/>
                <w:lang w:bidi="ar"/>
              </w:rPr>
              <w:t>氮氧化物</w:t>
            </w:r>
          </w:p>
        </w:tc>
        <w:tc>
          <w:tcPr>
            <w:tcW w:w="1617" w:type="dxa"/>
            <w:vAlign w:val="center"/>
          </w:tcPr>
          <w:p>
            <w:pPr>
              <w:pStyle w:val="47"/>
              <w:spacing w:beforeLines="0" w:afterLines="0" w:line="240" w:lineRule="auto"/>
              <w:rPr>
                <w:rFonts w:ascii="Times New Roman"/>
                <w:snapToGrid w:val="0"/>
                <w:color w:val="auto"/>
                <w:kern w:val="21"/>
                <w:szCs w:val="21"/>
              </w:rPr>
            </w:pPr>
          </w:p>
        </w:tc>
        <w:tc>
          <w:tcPr>
            <w:tcW w:w="1276" w:type="dxa"/>
            <w:vAlign w:val="center"/>
          </w:tcPr>
          <w:p>
            <w:pPr>
              <w:pStyle w:val="47"/>
              <w:spacing w:beforeLines="0" w:afterLines="0" w:line="240" w:lineRule="auto"/>
              <w:rPr>
                <w:rFonts w:ascii="Times New Roman"/>
                <w:snapToGrid w:val="0"/>
                <w:color w:val="auto"/>
                <w:kern w:val="21"/>
                <w:szCs w:val="21"/>
              </w:rPr>
            </w:pPr>
          </w:p>
        </w:tc>
        <w:tc>
          <w:tcPr>
            <w:tcW w:w="1587" w:type="dxa"/>
            <w:vAlign w:val="center"/>
          </w:tcPr>
          <w:p>
            <w:pPr>
              <w:pStyle w:val="47"/>
              <w:spacing w:beforeLines="0" w:afterLines="0" w:line="240" w:lineRule="auto"/>
              <w:rPr>
                <w:rFonts w:ascii="Times New Roman"/>
                <w:snapToGrid w:val="0"/>
                <w:color w:val="auto"/>
                <w:kern w:val="21"/>
                <w:szCs w:val="21"/>
              </w:rPr>
            </w:pPr>
          </w:p>
        </w:tc>
        <w:tc>
          <w:tcPr>
            <w:tcW w:w="1673" w:type="dxa"/>
            <w:vAlign w:val="center"/>
          </w:tcPr>
          <w:p>
            <w:pPr>
              <w:widowControl/>
              <w:jc w:val="center"/>
              <w:rPr>
                <w:rFonts w:hint="eastAsia"/>
                <w:color w:val="auto"/>
                <w:kern w:val="0"/>
                <w:szCs w:val="21"/>
              </w:rPr>
            </w:pPr>
            <w:r>
              <w:rPr>
                <w:rFonts w:hint="eastAsia"/>
                <w:color w:val="auto"/>
                <w:szCs w:val="21"/>
                <w:lang w:eastAsia="zh-CN"/>
              </w:rPr>
              <w:t>0.178</w:t>
            </w:r>
            <w:r>
              <w:rPr>
                <w:rFonts w:hint="eastAsia"/>
                <w:color w:val="auto"/>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p>
        </w:tc>
        <w:tc>
          <w:tcPr>
            <w:tcW w:w="1785" w:type="dxa"/>
            <w:vAlign w:val="center"/>
          </w:tcPr>
          <w:p>
            <w:pPr>
              <w:widowControl/>
              <w:jc w:val="center"/>
              <w:rPr>
                <w:rFonts w:hint="eastAsia"/>
                <w:color w:val="auto"/>
                <w:kern w:val="0"/>
                <w:szCs w:val="21"/>
              </w:rPr>
            </w:pPr>
            <w:r>
              <w:rPr>
                <w:rFonts w:hint="eastAsia"/>
                <w:color w:val="auto"/>
                <w:szCs w:val="21"/>
                <w:lang w:eastAsia="zh-CN"/>
              </w:rPr>
              <w:t>0.178</w:t>
            </w:r>
            <w:r>
              <w:rPr>
                <w:rFonts w:hint="eastAsia"/>
                <w:color w:val="auto"/>
                <w:szCs w:val="21"/>
              </w:rPr>
              <w:t>t/a</w:t>
            </w:r>
          </w:p>
        </w:tc>
        <w:tc>
          <w:tcPr>
            <w:tcW w:w="1217" w:type="dxa"/>
            <w:vAlign w:val="center"/>
          </w:tcPr>
          <w:p>
            <w:pPr>
              <w:jc w:val="center"/>
              <w:rPr>
                <w:rFonts w:hint="eastAsia"/>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1364" w:type="dxa"/>
            <w:vMerge w:val="restart"/>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废水</w:t>
            </w:r>
          </w:p>
        </w:tc>
        <w:tc>
          <w:tcPr>
            <w:tcW w:w="1725" w:type="dxa"/>
            <w:vAlign w:val="center"/>
          </w:tcPr>
          <w:p>
            <w:pPr>
              <w:pStyle w:val="59"/>
              <w:rPr>
                <w:color w:val="auto"/>
                <w:kern w:val="0"/>
                <w:sz w:val="21"/>
                <w:szCs w:val="21"/>
              </w:rPr>
            </w:pPr>
            <w:r>
              <w:rPr>
                <w:color w:val="auto"/>
                <w:kern w:val="0"/>
                <w:sz w:val="21"/>
                <w:szCs w:val="21"/>
              </w:rPr>
              <w:t>SS</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0.0084t/a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0.0084t/a</w:t>
            </w:r>
          </w:p>
        </w:tc>
        <w:tc>
          <w:tcPr>
            <w:tcW w:w="1217" w:type="dxa"/>
            <w:vAlign w:val="center"/>
          </w:tcPr>
          <w:p>
            <w:pPr>
              <w:widowControl/>
              <w:jc w:val="center"/>
              <w:textAlignment w:val="center"/>
              <w:rPr>
                <w:color w:val="auto"/>
                <w:kern w:val="0"/>
                <w:szCs w:val="21"/>
                <w:lang w:bidi="ar"/>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59"/>
              <w:rPr>
                <w:color w:val="auto"/>
                <w:kern w:val="0"/>
                <w:sz w:val="21"/>
                <w:szCs w:val="21"/>
              </w:rPr>
            </w:pPr>
            <w:r>
              <w:rPr>
                <w:color w:val="auto"/>
                <w:kern w:val="0"/>
                <w:sz w:val="21"/>
                <w:szCs w:val="21"/>
              </w:rPr>
              <w:t>NH</w:t>
            </w:r>
            <w:r>
              <w:rPr>
                <w:color w:val="auto"/>
                <w:kern w:val="0"/>
                <w:sz w:val="21"/>
                <w:szCs w:val="21"/>
                <w:vertAlign w:val="subscript"/>
              </w:rPr>
              <w:t>3</w:t>
            </w:r>
            <w:r>
              <w:rPr>
                <w:color w:val="auto"/>
                <w:kern w:val="0"/>
                <w:sz w:val="21"/>
                <w:szCs w:val="21"/>
              </w:rPr>
              <w:t>－N</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color w:val="auto"/>
              </w:rPr>
              <w:t>0.0012t</w:t>
            </w:r>
            <w:r>
              <w:rPr>
                <w:rFonts w:ascii="Times New Roman"/>
                <w:color w:val="auto"/>
              </w:rPr>
              <w: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color w:val="auto"/>
              </w:rPr>
              <w:t>0.0012t</w:t>
            </w:r>
            <w:r>
              <w:rPr>
                <w:rFonts w:ascii="Times New Roman"/>
                <w:color w:val="auto"/>
              </w:rPr>
              <w:t>/a</w:t>
            </w:r>
          </w:p>
        </w:tc>
        <w:tc>
          <w:tcPr>
            <w:tcW w:w="1217" w:type="dxa"/>
            <w:vAlign w:val="center"/>
          </w:tcPr>
          <w:p>
            <w:pPr>
              <w:widowControl/>
              <w:jc w:val="center"/>
              <w:textAlignment w:val="center"/>
              <w:rPr>
                <w:color w:val="auto"/>
                <w:kern w:val="0"/>
                <w:szCs w:val="21"/>
                <w:lang w:bidi="ar"/>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364" w:type="dxa"/>
            <w:vMerge w:val="continue"/>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color w:val="auto"/>
              </w:rPr>
              <w:t>COD</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0.012t/a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0.012t/a</w:t>
            </w:r>
          </w:p>
        </w:tc>
        <w:tc>
          <w:tcPr>
            <w:tcW w:w="1217" w:type="dxa"/>
            <w:vAlign w:val="center"/>
          </w:tcPr>
          <w:p>
            <w:pPr>
              <w:widowControl/>
              <w:jc w:val="center"/>
              <w:textAlignment w:val="center"/>
              <w:rPr>
                <w:color w:val="auto"/>
                <w:kern w:val="0"/>
                <w:szCs w:val="21"/>
                <w:lang w:bidi="ar"/>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364" w:type="dxa"/>
            <w:vMerge w:val="continue"/>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color w:val="auto"/>
                <w:vertAlign w:val="subscript"/>
              </w:rPr>
            </w:pPr>
            <w:r>
              <w:rPr>
                <w:rFonts w:hint="eastAsia" w:ascii="Times New Roman"/>
                <w:color w:val="auto"/>
              </w:rPr>
              <w:t>BOD</w:t>
            </w:r>
            <w:r>
              <w:rPr>
                <w:rFonts w:hint="eastAsia" w:ascii="Times New Roman"/>
                <w:color w:val="auto"/>
                <w:vertAlign w:val="subscript"/>
              </w:rPr>
              <w:t>5</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0.0067t/a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0.0067t/a</w:t>
            </w:r>
          </w:p>
        </w:tc>
        <w:tc>
          <w:tcPr>
            <w:tcW w:w="1217" w:type="dxa"/>
            <w:vAlign w:val="center"/>
          </w:tcPr>
          <w:p>
            <w:pPr>
              <w:widowControl/>
              <w:jc w:val="center"/>
              <w:textAlignment w:val="center"/>
              <w:rPr>
                <w:color w:val="auto"/>
                <w:kern w:val="0"/>
                <w:szCs w:val="21"/>
                <w:lang w:bidi="ar"/>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1364" w:type="dxa"/>
            <w:vMerge w:val="restart"/>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固体废物</w:t>
            </w:r>
          </w:p>
        </w:tc>
        <w:tc>
          <w:tcPr>
            <w:tcW w:w="1725" w:type="dxa"/>
            <w:vAlign w:val="center"/>
          </w:tcPr>
          <w:p>
            <w:pPr>
              <w:pStyle w:val="47"/>
              <w:spacing w:beforeLines="0" w:afterLines="0" w:line="240" w:lineRule="auto"/>
              <w:rPr>
                <w:rFonts w:ascii="Times New Roman"/>
                <w:color w:val="auto"/>
              </w:rPr>
            </w:pPr>
            <w:r>
              <w:rPr>
                <w:rFonts w:ascii="Times New Roman"/>
                <w:snapToGrid w:val="0"/>
                <w:color w:val="auto"/>
                <w:kern w:val="21"/>
                <w:szCs w:val="21"/>
              </w:rPr>
              <w:t>生活垃圾</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0.84</w:t>
            </w:r>
            <w:r>
              <w:rPr>
                <w:rFonts w:ascii="Times New Roman"/>
                <w:snapToGrid w:val="0"/>
                <w:color w:val="auto"/>
                <w:kern w:val="21"/>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0.84</w:t>
            </w:r>
            <w:r>
              <w:rPr>
                <w:rFonts w:ascii="Times New Roman"/>
                <w:snapToGrid w:val="0"/>
                <w:color w:val="auto"/>
                <w:kern w:val="21"/>
                <w:szCs w:val="21"/>
              </w:rPr>
              <w:t>t/a</w:t>
            </w:r>
          </w:p>
        </w:tc>
        <w:tc>
          <w:tcPr>
            <w:tcW w:w="1217" w:type="dxa"/>
            <w:vAlign w:val="center"/>
          </w:tcPr>
          <w:p>
            <w:pPr>
              <w:widowControl/>
              <w:jc w:val="center"/>
              <w:textAlignment w:val="center"/>
              <w:rPr>
                <w:color w:val="auto"/>
                <w:kern w:val="0"/>
                <w:szCs w:val="21"/>
                <w:lang w:bidi="ar"/>
              </w:rPr>
            </w:pPr>
            <w:r>
              <w:rPr>
                <w:rFonts w:hint="eastAsia"/>
                <w:color w:val="auto"/>
                <w:kern w:val="0"/>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废活性炭</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7.6</w:t>
            </w:r>
            <w:r>
              <w:rPr>
                <w:rFonts w:ascii="Times New Roman"/>
                <w:snapToGrid w:val="0"/>
                <w:color w:val="auto"/>
                <w:kern w:val="21"/>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7.6</w:t>
            </w:r>
            <w:r>
              <w:rPr>
                <w:rFonts w:ascii="Times New Roman"/>
                <w:snapToGrid w:val="0"/>
                <w:color w:val="auto"/>
                <w:kern w:val="21"/>
                <w:szCs w:val="21"/>
              </w:rPr>
              <w:t>t/a</w:t>
            </w:r>
          </w:p>
        </w:tc>
        <w:tc>
          <w:tcPr>
            <w:tcW w:w="1217"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废灯管</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20支</w:t>
            </w:r>
          </w:p>
        </w:tc>
        <w:tc>
          <w:tcPr>
            <w:tcW w:w="1544"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20支</w:t>
            </w:r>
          </w:p>
        </w:tc>
        <w:tc>
          <w:tcPr>
            <w:tcW w:w="1217"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废机油</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0.0095</w:t>
            </w:r>
            <w:r>
              <w:rPr>
                <w:rFonts w:ascii="Times New Roman"/>
                <w:snapToGrid w:val="0"/>
                <w:color w:val="auto"/>
                <w:kern w:val="21"/>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0.0095</w:t>
            </w:r>
            <w:r>
              <w:rPr>
                <w:rFonts w:ascii="Times New Roman"/>
                <w:snapToGrid w:val="0"/>
                <w:color w:val="auto"/>
                <w:kern w:val="21"/>
                <w:szCs w:val="21"/>
              </w:rPr>
              <w:t>t/a</w:t>
            </w:r>
          </w:p>
        </w:tc>
        <w:tc>
          <w:tcPr>
            <w:tcW w:w="1217"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废气含油抹布</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0.001</w:t>
            </w:r>
            <w:r>
              <w:rPr>
                <w:rFonts w:ascii="Times New Roman"/>
                <w:snapToGrid w:val="0"/>
                <w:color w:val="auto"/>
                <w:kern w:val="21"/>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0.001</w:t>
            </w:r>
            <w:r>
              <w:rPr>
                <w:rFonts w:ascii="Times New Roman"/>
                <w:snapToGrid w:val="0"/>
                <w:color w:val="auto"/>
                <w:kern w:val="21"/>
                <w:szCs w:val="21"/>
              </w:rPr>
              <w:t>t/a</w:t>
            </w:r>
          </w:p>
        </w:tc>
        <w:tc>
          <w:tcPr>
            <w:tcW w:w="1217"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364" w:type="dxa"/>
            <w:vMerge w:val="continue"/>
            <w:vAlign w:val="center"/>
          </w:tcPr>
          <w:p>
            <w:pPr>
              <w:pStyle w:val="47"/>
              <w:spacing w:beforeLines="0" w:afterLines="0" w:line="240" w:lineRule="auto"/>
              <w:rPr>
                <w:rFonts w:ascii="Times New Roman"/>
                <w:snapToGrid w:val="0"/>
                <w:color w:val="auto"/>
                <w:kern w:val="21"/>
                <w:szCs w:val="21"/>
              </w:rPr>
            </w:pPr>
          </w:p>
        </w:tc>
        <w:tc>
          <w:tcPr>
            <w:tcW w:w="172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不合格产品</w:t>
            </w:r>
          </w:p>
        </w:tc>
        <w:tc>
          <w:tcPr>
            <w:tcW w:w="161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276"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587" w:type="dxa"/>
            <w:vAlign w:val="center"/>
          </w:tcPr>
          <w:p>
            <w:pPr>
              <w:pStyle w:val="47"/>
              <w:spacing w:beforeLines="0" w:afterLines="0" w:line="240" w:lineRule="auto"/>
              <w:rPr>
                <w:rFonts w:ascii="Times New Roman"/>
                <w:snapToGrid w:val="0"/>
                <w:color w:val="auto"/>
                <w:kern w:val="21"/>
                <w:szCs w:val="21"/>
              </w:rPr>
            </w:pPr>
            <w:r>
              <w:rPr>
                <w:rFonts w:ascii="Times New Roman"/>
                <w:snapToGrid w:val="0"/>
                <w:color w:val="auto"/>
                <w:kern w:val="21"/>
                <w:szCs w:val="21"/>
              </w:rPr>
              <w:t>/</w:t>
            </w:r>
          </w:p>
        </w:tc>
        <w:tc>
          <w:tcPr>
            <w:tcW w:w="1673"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0.002</w:t>
            </w:r>
            <w:r>
              <w:rPr>
                <w:rFonts w:ascii="Times New Roman"/>
                <w:snapToGrid w:val="0"/>
                <w:color w:val="auto"/>
                <w:kern w:val="21"/>
                <w:szCs w:val="21"/>
              </w:rPr>
              <w:t>t/a</w:t>
            </w:r>
          </w:p>
        </w:tc>
        <w:tc>
          <w:tcPr>
            <w:tcW w:w="1544" w:type="dxa"/>
            <w:vAlign w:val="center"/>
          </w:tcPr>
          <w:p>
            <w:pPr>
              <w:pStyle w:val="47"/>
              <w:spacing w:beforeLines="0" w:afterLines="0" w:line="240" w:lineRule="auto"/>
              <w:rPr>
                <w:rFonts w:ascii="Times New Roman"/>
                <w:snapToGrid w:val="0"/>
                <w:color w:val="auto"/>
                <w:kern w:val="21"/>
                <w:szCs w:val="21"/>
              </w:rPr>
            </w:pPr>
          </w:p>
        </w:tc>
        <w:tc>
          <w:tcPr>
            <w:tcW w:w="1785"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0.002</w:t>
            </w:r>
            <w:r>
              <w:rPr>
                <w:rFonts w:ascii="Times New Roman"/>
                <w:snapToGrid w:val="0"/>
                <w:color w:val="auto"/>
                <w:kern w:val="21"/>
                <w:szCs w:val="21"/>
              </w:rPr>
              <w:t>t/a</w:t>
            </w:r>
          </w:p>
        </w:tc>
        <w:tc>
          <w:tcPr>
            <w:tcW w:w="1217" w:type="dxa"/>
            <w:vAlign w:val="center"/>
          </w:tcPr>
          <w:p>
            <w:pPr>
              <w:pStyle w:val="47"/>
              <w:spacing w:beforeLines="0" w:afterLines="0" w:line="240" w:lineRule="auto"/>
              <w:rPr>
                <w:rFonts w:ascii="Times New Roman"/>
                <w:snapToGrid w:val="0"/>
                <w:color w:val="auto"/>
                <w:kern w:val="21"/>
                <w:szCs w:val="21"/>
              </w:rPr>
            </w:pPr>
            <w:r>
              <w:rPr>
                <w:rFonts w:hint="eastAsia" w:ascii="Times New Roman"/>
                <w:snapToGrid w:val="0"/>
                <w:color w:val="auto"/>
                <w:kern w:val="21"/>
                <w:szCs w:val="21"/>
              </w:rPr>
              <w:t>0</w:t>
            </w:r>
          </w:p>
        </w:tc>
      </w:tr>
    </w:tbl>
    <w:p>
      <w:pPr>
        <w:pStyle w:val="47"/>
        <w:spacing w:before="192" w:beforeLines="80" w:after="24"/>
        <w:jc w:val="left"/>
        <w:rPr>
          <w:color w:val="auto"/>
        </w:rPr>
        <w:sectPr>
          <w:footerReference r:id="rId6" w:type="default"/>
          <w:pgSz w:w="16838" w:h="11906" w:orient="landscape"/>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r>
        <w:rPr>
          <w:rFonts w:hAnsi="宋体"/>
          <w:snapToGrid w:val="0"/>
          <w:color w:val="auto"/>
          <w:kern w:val="21"/>
          <w:szCs w:val="21"/>
        </w:rPr>
        <w:t>注：</w:t>
      </w:r>
      <w:r>
        <w:rPr>
          <w:rFonts w:hAnsi="宋体"/>
          <w:snapToGrid w:val="0"/>
          <w:color w:val="auto"/>
          <w:spacing w:val="-16"/>
          <w:kern w:val="21"/>
          <w:szCs w:val="21"/>
        </w:rPr>
        <w:fldChar w:fldCharType="begin"/>
      </w:r>
      <w:r>
        <w:rPr>
          <w:rFonts w:hAnsi="宋体"/>
          <w:snapToGrid w:val="0"/>
          <w:color w:val="auto"/>
          <w:spacing w:val="-16"/>
          <w:kern w:val="21"/>
          <w:szCs w:val="21"/>
        </w:rPr>
        <w:instrText xml:space="preserve"> = 6 \* GB3 \* MERGEFORMAT </w:instrText>
      </w:r>
      <w:r>
        <w:rPr>
          <w:rFonts w:hAnsi="宋体"/>
          <w:snapToGrid w:val="0"/>
          <w:color w:val="auto"/>
          <w:spacing w:val="-16"/>
          <w:kern w:val="21"/>
          <w:szCs w:val="21"/>
        </w:rPr>
        <w:fldChar w:fldCharType="separate"/>
      </w:r>
      <w:r>
        <w:rPr>
          <w:rFonts w:hint="eastAsia" w:hAnsi="宋体"/>
          <w:color w:val="auto"/>
          <w:szCs w:val="21"/>
        </w:rPr>
        <w:t>⑥</w:t>
      </w:r>
      <w:r>
        <w:rPr>
          <w:rFonts w:hAnsi="宋体"/>
          <w:snapToGrid w:val="0"/>
          <w:color w:val="auto"/>
          <w:spacing w:val="-16"/>
          <w:kern w:val="21"/>
          <w:szCs w:val="21"/>
        </w:rPr>
        <w:fldChar w:fldCharType="end"/>
      </w:r>
      <w:r>
        <w:rPr>
          <w:rFonts w:hAnsi="宋体"/>
          <w:snapToGrid w:val="0"/>
          <w:color w:val="auto"/>
          <w:spacing w:val="-16"/>
          <w:kern w:val="21"/>
          <w:szCs w:val="21"/>
        </w:rPr>
        <w:t>=</w:t>
      </w:r>
      <w:r>
        <w:rPr>
          <w:rFonts w:hAnsi="宋体"/>
          <w:snapToGrid w:val="0"/>
          <w:color w:val="auto"/>
          <w:spacing w:val="-6"/>
          <w:kern w:val="21"/>
          <w:szCs w:val="21"/>
        </w:rPr>
        <w:fldChar w:fldCharType="begin"/>
      </w:r>
      <w:r>
        <w:rPr>
          <w:rFonts w:hAnsi="宋体"/>
          <w:snapToGrid w:val="0"/>
          <w:color w:val="auto"/>
          <w:spacing w:val="-6"/>
          <w:kern w:val="21"/>
          <w:szCs w:val="21"/>
        </w:rPr>
        <w:instrText xml:space="preserve"> = 1 \* GB3 \* MERGEFORMAT </w:instrText>
      </w:r>
      <w:r>
        <w:rPr>
          <w:rFonts w:hAnsi="宋体"/>
          <w:snapToGrid w:val="0"/>
          <w:color w:val="auto"/>
          <w:spacing w:val="-6"/>
          <w:kern w:val="21"/>
          <w:szCs w:val="21"/>
        </w:rPr>
        <w:fldChar w:fldCharType="separate"/>
      </w:r>
      <w:r>
        <w:rPr>
          <w:rFonts w:hint="eastAsia" w:hAnsi="宋体"/>
          <w:color w:val="auto"/>
          <w:szCs w:val="21"/>
        </w:rPr>
        <w:t>①</w:t>
      </w:r>
      <w:r>
        <w:rPr>
          <w:rFonts w:hAnsi="宋体"/>
          <w:snapToGrid w:val="0"/>
          <w:color w:val="auto"/>
          <w:spacing w:val="-6"/>
          <w:kern w:val="21"/>
          <w:szCs w:val="21"/>
        </w:rPr>
        <w:fldChar w:fldCharType="end"/>
      </w:r>
      <w:r>
        <w:rPr>
          <w:rFonts w:hAnsi="宋体"/>
          <w:snapToGrid w:val="0"/>
          <w:color w:val="auto"/>
          <w:spacing w:val="-6"/>
          <w:kern w:val="21"/>
          <w:szCs w:val="21"/>
        </w:rPr>
        <w:t>+</w:t>
      </w:r>
      <w:r>
        <w:rPr>
          <w:rFonts w:hAnsi="宋体"/>
          <w:snapToGrid w:val="0"/>
          <w:color w:val="auto"/>
          <w:spacing w:val="-6"/>
          <w:kern w:val="21"/>
          <w:szCs w:val="21"/>
        </w:rPr>
        <w:fldChar w:fldCharType="begin"/>
      </w:r>
      <w:r>
        <w:rPr>
          <w:rFonts w:hAnsi="宋体"/>
          <w:snapToGrid w:val="0"/>
          <w:color w:val="auto"/>
          <w:spacing w:val="-6"/>
          <w:kern w:val="21"/>
          <w:szCs w:val="21"/>
        </w:rPr>
        <w:instrText xml:space="preserve"> = 3 \* GB3 \* MERGEFORMAT </w:instrText>
      </w:r>
      <w:r>
        <w:rPr>
          <w:rFonts w:hAnsi="宋体"/>
          <w:snapToGrid w:val="0"/>
          <w:color w:val="auto"/>
          <w:spacing w:val="-6"/>
          <w:kern w:val="21"/>
          <w:szCs w:val="21"/>
        </w:rPr>
        <w:fldChar w:fldCharType="separate"/>
      </w:r>
      <w:r>
        <w:rPr>
          <w:rFonts w:hint="eastAsia" w:hAnsi="宋体"/>
          <w:color w:val="auto"/>
          <w:szCs w:val="21"/>
        </w:rPr>
        <w:t>③</w:t>
      </w:r>
      <w:r>
        <w:rPr>
          <w:rFonts w:hAnsi="宋体"/>
          <w:snapToGrid w:val="0"/>
          <w:color w:val="auto"/>
          <w:spacing w:val="-6"/>
          <w:kern w:val="21"/>
          <w:szCs w:val="21"/>
        </w:rPr>
        <w:fldChar w:fldCharType="end"/>
      </w:r>
      <w:r>
        <w:rPr>
          <w:rFonts w:hAnsi="宋体"/>
          <w:snapToGrid w:val="0"/>
          <w:color w:val="auto"/>
          <w:spacing w:val="-6"/>
          <w:kern w:val="21"/>
          <w:szCs w:val="21"/>
        </w:rPr>
        <w:t>+</w:t>
      </w:r>
      <w:r>
        <w:rPr>
          <w:rFonts w:hAnsi="宋体"/>
          <w:snapToGrid w:val="0"/>
          <w:color w:val="auto"/>
          <w:spacing w:val="-6"/>
          <w:kern w:val="21"/>
          <w:szCs w:val="21"/>
        </w:rPr>
        <w:fldChar w:fldCharType="begin"/>
      </w:r>
      <w:r>
        <w:rPr>
          <w:rFonts w:hAnsi="宋体"/>
          <w:snapToGrid w:val="0"/>
          <w:color w:val="auto"/>
          <w:spacing w:val="-6"/>
          <w:kern w:val="21"/>
          <w:szCs w:val="21"/>
        </w:rPr>
        <w:instrText xml:space="preserve"> = 4 \* GB3 \* MERGEFORMAT </w:instrText>
      </w:r>
      <w:r>
        <w:rPr>
          <w:rFonts w:hAnsi="宋体"/>
          <w:snapToGrid w:val="0"/>
          <w:color w:val="auto"/>
          <w:spacing w:val="-6"/>
          <w:kern w:val="21"/>
          <w:szCs w:val="21"/>
        </w:rPr>
        <w:fldChar w:fldCharType="separate"/>
      </w:r>
      <w:r>
        <w:rPr>
          <w:rFonts w:hint="eastAsia" w:hAnsi="宋体"/>
          <w:color w:val="auto"/>
          <w:szCs w:val="21"/>
        </w:rPr>
        <w:t>④</w:t>
      </w:r>
      <w:r>
        <w:rPr>
          <w:rFonts w:hAnsi="宋体"/>
          <w:snapToGrid w:val="0"/>
          <w:color w:val="auto"/>
          <w:spacing w:val="-6"/>
          <w:kern w:val="21"/>
          <w:szCs w:val="21"/>
        </w:rPr>
        <w:fldChar w:fldCharType="end"/>
      </w:r>
      <w:r>
        <w:rPr>
          <w:rFonts w:hAnsi="宋体"/>
          <w:snapToGrid w:val="0"/>
          <w:color w:val="auto"/>
          <w:spacing w:val="-6"/>
          <w:kern w:val="21"/>
          <w:szCs w:val="21"/>
        </w:rPr>
        <w:t>-</w:t>
      </w:r>
      <w:r>
        <w:rPr>
          <w:rFonts w:hAnsi="宋体"/>
          <w:snapToGrid w:val="0"/>
          <w:color w:val="auto"/>
          <w:spacing w:val="-16"/>
          <w:kern w:val="21"/>
          <w:szCs w:val="21"/>
        </w:rPr>
        <w:fldChar w:fldCharType="begin"/>
      </w:r>
      <w:r>
        <w:rPr>
          <w:rFonts w:hAnsi="宋体"/>
          <w:snapToGrid w:val="0"/>
          <w:color w:val="auto"/>
          <w:spacing w:val="-16"/>
          <w:kern w:val="21"/>
          <w:szCs w:val="21"/>
        </w:rPr>
        <w:instrText xml:space="preserve"> = 5 \* GB3 \* MERGEFORMAT </w:instrText>
      </w:r>
      <w:r>
        <w:rPr>
          <w:rFonts w:hAnsi="宋体"/>
          <w:snapToGrid w:val="0"/>
          <w:color w:val="auto"/>
          <w:spacing w:val="-16"/>
          <w:kern w:val="21"/>
          <w:szCs w:val="21"/>
        </w:rPr>
        <w:fldChar w:fldCharType="separate"/>
      </w:r>
      <w:r>
        <w:rPr>
          <w:rFonts w:hint="eastAsia" w:hAnsi="宋体"/>
          <w:color w:val="auto"/>
          <w:szCs w:val="21"/>
        </w:rPr>
        <w:t>⑤</w:t>
      </w:r>
      <w:r>
        <w:rPr>
          <w:rFonts w:hAnsi="宋体"/>
          <w:snapToGrid w:val="0"/>
          <w:color w:val="auto"/>
          <w:spacing w:val="-16"/>
          <w:kern w:val="21"/>
          <w:szCs w:val="21"/>
        </w:rPr>
        <w:fldChar w:fldCharType="end"/>
      </w:r>
      <w:r>
        <w:rPr>
          <w:rFonts w:hAnsi="宋体"/>
          <w:snapToGrid w:val="0"/>
          <w:color w:val="auto"/>
          <w:spacing w:val="-16"/>
          <w:kern w:val="21"/>
          <w:szCs w:val="21"/>
        </w:rPr>
        <w:t>；</w:t>
      </w:r>
      <w:r>
        <w:rPr>
          <w:rFonts w:hAnsi="宋体"/>
          <w:snapToGrid w:val="0"/>
          <w:color w:val="auto"/>
          <w:spacing w:val="-6"/>
          <w:kern w:val="21"/>
          <w:szCs w:val="21"/>
        </w:rPr>
        <w:fldChar w:fldCharType="begin"/>
      </w:r>
      <w:r>
        <w:rPr>
          <w:rFonts w:hAnsi="宋体"/>
          <w:snapToGrid w:val="0"/>
          <w:color w:val="auto"/>
          <w:spacing w:val="-6"/>
          <w:kern w:val="21"/>
          <w:szCs w:val="21"/>
        </w:rPr>
        <w:instrText xml:space="preserve"> = 7 \* GB3 \* MERGEFORMAT </w:instrText>
      </w:r>
      <w:r>
        <w:rPr>
          <w:rFonts w:hAnsi="宋体"/>
          <w:snapToGrid w:val="0"/>
          <w:color w:val="auto"/>
          <w:spacing w:val="-6"/>
          <w:kern w:val="21"/>
          <w:szCs w:val="21"/>
        </w:rPr>
        <w:fldChar w:fldCharType="separate"/>
      </w:r>
      <w:r>
        <w:rPr>
          <w:rFonts w:hint="eastAsia" w:hAnsi="宋体"/>
          <w:color w:val="auto"/>
          <w:szCs w:val="21"/>
        </w:rPr>
        <w:t>⑦</w:t>
      </w:r>
      <w:r>
        <w:rPr>
          <w:rFonts w:hAnsi="宋体"/>
          <w:snapToGrid w:val="0"/>
          <w:color w:val="auto"/>
          <w:spacing w:val="-6"/>
          <w:kern w:val="21"/>
          <w:szCs w:val="21"/>
        </w:rPr>
        <w:fldChar w:fldCharType="end"/>
      </w:r>
      <w:r>
        <w:rPr>
          <w:rFonts w:hAnsi="宋体"/>
          <w:snapToGrid w:val="0"/>
          <w:color w:val="auto"/>
          <w:spacing w:val="-6"/>
          <w:kern w:val="21"/>
          <w:szCs w:val="21"/>
        </w:rPr>
        <w:t>=</w:t>
      </w:r>
      <w:r>
        <w:rPr>
          <w:rFonts w:hAnsi="宋体"/>
          <w:snapToGrid w:val="0"/>
          <w:color w:val="auto"/>
          <w:spacing w:val="-16"/>
          <w:kern w:val="21"/>
          <w:szCs w:val="21"/>
        </w:rPr>
        <w:fldChar w:fldCharType="begin"/>
      </w:r>
      <w:r>
        <w:rPr>
          <w:rFonts w:hAnsi="宋体"/>
          <w:snapToGrid w:val="0"/>
          <w:color w:val="auto"/>
          <w:spacing w:val="-16"/>
          <w:kern w:val="21"/>
          <w:szCs w:val="21"/>
        </w:rPr>
        <w:instrText xml:space="preserve"> = 6 \* GB3 \* MERGEFORMAT </w:instrText>
      </w:r>
      <w:r>
        <w:rPr>
          <w:rFonts w:hAnsi="宋体"/>
          <w:snapToGrid w:val="0"/>
          <w:color w:val="auto"/>
          <w:spacing w:val="-16"/>
          <w:kern w:val="21"/>
          <w:szCs w:val="21"/>
        </w:rPr>
        <w:fldChar w:fldCharType="separate"/>
      </w:r>
      <w:r>
        <w:rPr>
          <w:rFonts w:hint="eastAsia" w:hAnsi="宋体"/>
          <w:color w:val="auto"/>
          <w:szCs w:val="21"/>
        </w:rPr>
        <w:t>⑥</w:t>
      </w:r>
      <w:r>
        <w:rPr>
          <w:rFonts w:hAnsi="宋体"/>
          <w:snapToGrid w:val="0"/>
          <w:color w:val="auto"/>
          <w:spacing w:val="-16"/>
          <w:kern w:val="21"/>
          <w:szCs w:val="21"/>
        </w:rPr>
        <w:fldChar w:fldCharType="end"/>
      </w:r>
      <w:r>
        <w:rPr>
          <w:rFonts w:hAnsi="宋体"/>
          <w:snapToGrid w:val="0"/>
          <w:color w:val="auto"/>
          <w:spacing w:val="-16"/>
          <w:kern w:val="21"/>
          <w:szCs w:val="21"/>
        </w:rPr>
        <w:t>-</w:t>
      </w:r>
      <w:r>
        <w:rPr>
          <w:rFonts w:hAnsi="宋体"/>
          <w:snapToGrid w:val="0"/>
          <w:color w:val="auto"/>
          <w:spacing w:val="-6"/>
          <w:kern w:val="21"/>
          <w:szCs w:val="21"/>
        </w:rPr>
        <w:fldChar w:fldCharType="begin"/>
      </w:r>
      <w:r>
        <w:rPr>
          <w:rFonts w:hAnsi="宋体"/>
          <w:snapToGrid w:val="0"/>
          <w:color w:val="auto"/>
          <w:spacing w:val="-6"/>
          <w:kern w:val="21"/>
          <w:szCs w:val="21"/>
        </w:rPr>
        <w:instrText xml:space="preserve"> = 1 \* GB3 \* MERGEFORMAT </w:instrText>
      </w:r>
      <w:r>
        <w:rPr>
          <w:rFonts w:hAnsi="宋体"/>
          <w:snapToGrid w:val="0"/>
          <w:color w:val="auto"/>
          <w:spacing w:val="-6"/>
          <w:kern w:val="21"/>
          <w:szCs w:val="21"/>
        </w:rPr>
        <w:fldChar w:fldCharType="separate"/>
      </w:r>
      <w:r>
        <w:rPr>
          <w:rFonts w:hint="eastAsia" w:hAnsi="宋体"/>
          <w:color w:val="auto"/>
          <w:szCs w:val="21"/>
        </w:rPr>
        <w:t>①</w:t>
      </w:r>
      <w:r>
        <w:rPr>
          <w:rFonts w:hAnsi="宋体"/>
          <w:snapToGrid w:val="0"/>
          <w:color w:val="auto"/>
          <w:spacing w:val="-6"/>
          <w:kern w:val="21"/>
          <w:szCs w:val="21"/>
        </w:rPr>
        <w:fldChar w:fldCharType="end"/>
      </w:r>
    </w:p>
    <w:p>
      <w:pPr>
        <w:rPr>
          <w:rFonts w:ascii="宋体" w:hAnsi="宋体" w:eastAsia="黑体"/>
          <w:color w:val="auto"/>
        </w:rPr>
      </w:pPr>
    </w:p>
    <w:sectPr>
      <w:footerReference r:id="rId7" w:type="default"/>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rif">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宋体 ! important">
    <w:altName w:val="宋体"/>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2"/>
      </w:rPr>
    </w:pPr>
    <w:r>
      <w:fldChar w:fldCharType="begin"/>
    </w:r>
    <w:r>
      <w:rPr>
        <w:rStyle w:val="22"/>
      </w:rPr>
      <w:instrText xml:space="preserve">PAGE  </w:instrText>
    </w:r>
    <w:r>
      <w:fldChar w:fldCharType="end"/>
    </w:r>
  </w:p>
  <w:p>
    <w:pPr>
      <w:pStyle w:val="1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outside" w:y="1"/>
      <w:rPr>
        <w:rStyle w:val="22"/>
        <w:rFonts w:ascii="宋体" w:hAnsi="宋体"/>
        <w:sz w:val="28"/>
        <w:szCs w:val="28"/>
      </w:rPr>
    </w:pPr>
    <w:r>
      <w:rPr>
        <w:rStyle w:val="22"/>
        <w:rFonts w:hint="eastAsia" w:ascii="宋体" w:hAnsi="宋体"/>
        <w:sz w:val="28"/>
        <w:szCs w:val="28"/>
      </w:rPr>
      <w:t>—</w:t>
    </w:r>
    <w:r>
      <w:rPr>
        <w:rStyle w:val="22"/>
        <w:rFonts w:hint="eastAsia" w:ascii="宋体" w:hAnsi="宋体"/>
        <w:sz w:val="20"/>
      </w:rPr>
      <w:t xml:space="preserve">  </w:t>
    </w:r>
    <w:r>
      <w:rPr>
        <w:rFonts w:ascii="宋体" w:hAnsi="宋体"/>
        <w:sz w:val="26"/>
        <w:szCs w:val="26"/>
      </w:rPr>
      <w:fldChar w:fldCharType="begin"/>
    </w:r>
    <w:r>
      <w:rPr>
        <w:rStyle w:val="22"/>
        <w:rFonts w:ascii="宋体" w:hAnsi="宋体"/>
        <w:sz w:val="26"/>
        <w:szCs w:val="26"/>
      </w:rPr>
      <w:instrText xml:space="preserve">PAGE  </w:instrText>
    </w:r>
    <w:r>
      <w:rPr>
        <w:rFonts w:ascii="宋体" w:hAnsi="宋体"/>
        <w:sz w:val="26"/>
        <w:szCs w:val="26"/>
      </w:rPr>
      <w:fldChar w:fldCharType="separate"/>
    </w:r>
    <w:r>
      <w:rPr>
        <w:rStyle w:val="22"/>
        <w:rFonts w:ascii="宋体" w:hAnsi="宋体"/>
        <w:sz w:val="26"/>
        <w:szCs w:val="26"/>
      </w:rPr>
      <w:t>9</w:t>
    </w:r>
    <w:r>
      <w:rPr>
        <w:rFonts w:ascii="宋体" w:hAnsi="宋体"/>
        <w:sz w:val="26"/>
        <w:szCs w:val="26"/>
      </w:rPr>
      <w:fldChar w:fldCharType="end"/>
    </w:r>
    <w:r>
      <w:rPr>
        <w:rStyle w:val="22"/>
        <w:rFonts w:hint="eastAsia" w:ascii="宋体" w:hAnsi="宋体"/>
        <w:sz w:val="20"/>
      </w:rPr>
      <w:t xml:space="preserve">  </w:t>
    </w:r>
    <w:r>
      <w:rPr>
        <w:rStyle w:val="22"/>
        <w:rFonts w:hint="eastAsia" w:ascii="宋体" w:hAnsi="宋体"/>
        <w:sz w:val="28"/>
        <w:szCs w:val="28"/>
      </w:rPr>
      <w:t>—</w:t>
    </w:r>
  </w:p>
  <w:p>
    <w:pPr>
      <w:pStyle w:val="13"/>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2"/>
        <w:rFonts w:ascii="宋体" w:hAnsi="宋体"/>
        <w:sz w:val="28"/>
        <w:szCs w:val="28"/>
      </w:rPr>
    </w:pPr>
    <w:r>
      <w:rPr>
        <w:rStyle w:val="22"/>
        <w:rFonts w:hint="eastAsia" w:ascii="宋体" w:hAnsi="宋体"/>
        <w:sz w:val="28"/>
        <w:szCs w:val="28"/>
      </w:rPr>
      <w:t>—</w:t>
    </w:r>
    <w:r>
      <w:rPr>
        <w:rStyle w:val="22"/>
        <w:rFonts w:hint="eastAsia" w:ascii="宋体" w:hAnsi="宋体"/>
        <w:sz w:val="20"/>
      </w:rPr>
      <w:t xml:space="preserve">  </w:t>
    </w:r>
    <w:r>
      <w:rPr>
        <w:rFonts w:ascii="宋体" w:hAnsi="宋体"/>
        <w:sz w:val="26"/>
        <w:szCs w:val="26"/>
      </w:rPr>
      <w:fldChar w:fldCharType="begin"/>
    </w:r>
    <w:r>
      <w:rPr>
        <w:rStyle w:val="22"/>
        <w:rFonts w:ascii="宋体" w:hAnsi="宋体"/>
        <w:sz w:val="26"/>
        <w:szCs w:val="26"/>
      </w:rPr>
      <w:instrText xml:space="preserve">PAGE  </w:instrText>
    </w:r>
    <w:r>
      <w:rPr>
        <w:rFonts w:ascii="宋体" w:hAnsi="宋体"/>
        <w:sz w:val="26"/>
        <w:szCs w:val="26"/>
      </w:rPr>
      <w:fldChar w:fldCharType="separate"/>
    </w:r>
    <w:r>
      <w:rPr>
        <w:rStyle w:val="22"/>
        <w:rFonts w:ascii="宋体" w:hAnsi="宋体"/>
        <w:sz w:val="26"/>
        <w:szCs w:val="26"/>
      </w:rPr>
      <w:t>10</w:t>
    </w:r>
    <w:r>
      <w:rPr>
        <w:rFonts w:ascii="宋体" w:hAnsi="宋体"/>
        <w:sz w:val="26"/>
        <w:szCs w:val="26"/>
      </w:rPr>
      <w:fldChar w:fldCharType="end"/>
    </w:r>
    <w:r>
      <w:rPr>
        <w:rStyle w:val="22"/>
        <w:rFonts w:hint="eastAsia" w:ascii="宋体" w:hAnsi="宋体"/>
        <w:sz w:val="20"/>
      </w:rPr>
      <w:t xml:space="preserve">  </w:t>
    </w:r>
    <w:r>
      <w:rPr>
        <w:rStyle w:val="22"/>
        <w:rFonts w:hint="eastAsia" w:ascii="宋体" w:hAnsi="宋体"/>
        <w:sz w:val="28"/>
        <w:szCs w:val="28"/>
      </w:rPr>
      <w:t>—</w:t>
    </w:r>
  </w:p>
  <w:p>
    <w:pPr>
      <w:pStyle w:val="13"/>
      <w:ind w:right="360"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outside" w:y="1"/>
      <w:rPr>
        <w:rStyle w:val="22"/>
        <w:rFonts w:ascii="宋体" w:hAnsi="宋体"/>
        <w:sz w:val="28"/>
        <w:szCs w:val="28"/>
      </w:rPr>
    </w:pPr>
    <w:r>
      <w:rPr>
        <w:rStyle w:val="22"/>
        <w:rFonts w:hint="eastAsia" w:ascii="宋体" w:hAnsi="宋体"/>
        <w:sz w:val="28"/>
        <w:szCs w:val="28"/>
      </w:rPr>
      <w:t>—</w:t>
    </w:r>
    <w:r>
      <w:rPr>
        <w:rStyle w:val="22"/>
        <w:rFonts w:hint="eastAsia" w:ascii="宋体" w:hAnsi="宋体"/>
        <w:sz w:val="20"/>
      </w:rPr>
      <w:t xml:space="preserve">  </w:t>
    </w:r>
    <w:r>
      <w:rPr>
        <w:rFonts w:ascii="宋体" w:hAnsi="宋体"/>
        <w:sz w:val="26"/>
        <w:szCs w:val="26"/>
      </w:rPr>
      <w:fldChar w:fldCharType="begin"/>
    </w:r>
    <w:r>
      <w:rPr>
        <w:rStyle w:val="22"/>
        <w:rFonts w:ascii="宋体" w:hAnsi="宋体"/>
        <w:sz w:val="26"/>
        <w:szCs w:val="26"/>
      </w:rPr>
      <w:instrText xml:space="preserve">PAGE  </w:instrText>
    </w:r>
    <w:r>
      <w:rPr>
        <w:rFonts w:ascii="宋体" w:hAnsi="宋体"/>
        <w:sz w:val="26"/>
        <w:szCs w:val="26"/>
      </w:rPr>
      <w:fldChar w:fldCharType="separate"/>
    </w:r>
    <w:r>
      <w:rPr>
        <w:rStyle w:val="22"/>
        <w:rFonts w:ascii="宋体" w:hAnsi="宋体"/>
        <w:sz w:val="26"/>
        <w:szCs w:val="26"/>
      </w:rPr>
      <w:t>11</w:t>
    </w:r>
    <w:r>
      <w:rPr>
        <w:rFonts w:ascii="宋体" w:hAnsi="宋体"/>
        <w:sz w:val="26"/>
        <w:szCs w:val="26"/>
      </w:rPr>
      <w:fldChar w:fldCharType="end"/>
    </w:r>
    <w:r>
      <w:rPr>
        <w:rStyle w:val="22"/>
        <w:rFonts w:hint="eastAsia" w:ascii="宋体" w:hAnsi="宋体"/>
        <w:sz w:val="20"/>
      </w:rPr>
      <w:t xml:space="preserve">  </w:t>
    </w:r>
    <w:r>
      <w:rPr>
        <w:rStyle w:val="22"/>
        <w:rFonts w:hint="eastAsia" w:ascii="宋体" w:hAnsi="宋体"/>
        <w:sz w:val="28"/>
        <w:szCs w:val="28"/>
      </w:rPr>
      <w:t>—</w:t>
    </w:r>
  </w:p>
  <w:p>
    <w:pPr>
      <w:pStyle w:val="13"/>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2C2428"/>
    <w:multiLevelType w:val="singleLevel"/>
    <w:tmpl w:val="A22C2428"/>
    <w:lvl w:ilvl="0" w:tentative="0">
      <w:start w:val="1"/>
      <w:numFmt w:val="decimal"/>
      <w:suff w:val="nothing"/>
      <w:lvlText w:val="（%1）"/>
      <w:lvlJc w:val="left"/>
    </w:lvl>
  </w:abstractNum>
  <w:abstractNum w:abstractNumId="1">
    <w:nsid w:val="F1D0BE44"/>
    <w:multiLevelType w:val="singleLevel"/>
    <w:tmpl w:val="F1D0BE44"/>
    <w:lvl w:ilvl="0" w:tentative="0">
      <w:start w:val="1"/>
      <w:numFmt w:val="decimal"/>
      <w:suff w:val="nothing"/>
      <w:lvlText w:val="（%1）"/>
      <w:lvlJc w:val="left"/>
    </w:lvl>
  </w:abstractNum>
  <w:abstractNum w:abstractNumId="2">
    <w:nsid w:val="014979C0"/>
    <w:multiLevelType w:val="singleLevel"/>
    <w:tmpl w:val="014979C0"/>
    <w:lvl w:ilvl="0" w:tentative="0">
      <w:start w:val="2"/>
      <w:numFmt w:val="decimal"/>
      <w:suff w:val="nothing"/>
      <w:lvlText w:val="（%1）"/>
      <w:lvlJc w:val="left"/>
    </w:lvl>
  </w:abstractNum>
  <w:abstractNum w:abstractNumId="3">
    <w:nsid w:val="5E87D51D"/>
    <w:multiLevelType w:val="singleLevel"/>
    <w:tmpl w:val="5E87D51D"/>
    <w:lvl w:ilvl="0" w:tentative="0">
      <w:start w:val="5"/>
      <w:numFmt w:val="decimal"/>
      <w:suff w:val="nothing"/>
      <w:lvlText w:val="%1）"/>
      <w:lvlJc w:val="left"/>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dit="trackedChanges"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AwZjM0NDY4YjQ4NDNjODhlNzQ3OGI0NmU2MmFkN2EifQ=="/>
  </w:docVars>
  <w:rsids>
    <w:rsidRoot w:val="006A387E"/>
    <w:rsid w:val="001669A1"/>
    <w:rsid w:val="00325466"/>
    <w:rsid w:val="003B64A1"/>
    <w:rsid w:val="004377BF"/>
    <w:rsid w:val="00451356"/>
    <w:rsid w:val="004B4E9C"/>
    <w:rsid w:val="006A387E"/>
    <w:rsid w:val="009C3C19"/>
    <w:rsid w:val="00BB1789"/>
    <w:rsid w:val="00BD6E97"/>
    <w:rsid w:val="00C74F3A"/>
    <w:rsid w:val="00CB2E33"/>
    <w:rsid w:val="00D0292C"/>
    <w:rsid w:val="00DD6FD9"/>
    <w:rsid w:val="00E211AF"/>
    <w:rsid w:val="00F2297D"/>
    <w:rsid w:val="02C92A2D"/>
    <w:rsid w:val="02EF5910"/>
    <w:rsid w:val="059D2976"/>
    <w:rsid w:val="05D1534A"/>
    <w:rsid w:val="06EE7842"/>
    <w:rsid w:val="08202CCF"/>
    <w:rsid w:val="0BA267B8"/>
    <w:rsid w:val="0D9E25BD"/>
    <w:rsid w:val="0EE12F75"/>
    <w:rsid w:val="0F892849"/>
    <w:rsid w:val="0FA83AEC"/>
    <w:rsid w:val="10313E82"/>
    <w:rsid w:val="10AA44A7"/>
    <w:rsid w:val="10E81CA6"/>
    <w:rsid w:val="12AC14E0"/>
    <w:rsid w:val="19DC4EAF"/>
    <w:rsid w:val="1ADD6480"/>
    <w:rsid w:val="1BCE1CD5"/>
    <w:rsid w:val="1E6A3B39"/>
    <w:rsid w:val="1E977690"/>
    <w:rsid w:val="1ECC2C27"/>
    <w:rsid w:val="20BC7BCD"/>
    <w:rsid w:val="2198356B"/>
    <w:rsid w:val="246300A0"/>
    <w:rsid w:val="252A71A0"/>
    <w:rsid w:val="258417B0"/>
    <w:rsid w:val="271B6F5F"/>
    <w:rsid w:val="28D955CD"/>
    <w:rsid w:val="29CF181E"/>
    <w:rsid w:val="2A41096D"/>
    <w:rsid w:val="2A5A5FDB"/>
    <w:rsid w:val="2C8E4174"/>
    <w:rsid w:val="2F9E7DBC"/>
    <w:rsid w:val="2FFF140B"/>
    <w:rsid w:val="322A1CE7"/>
    <w:rsid w:val="33AE57E5"/>
    <w:rsid w:val="33EC1A43"/>
    <w:rsid w:val="37904807"/>
    <w:rsid w:val="3A747EDD"/>
    <w:rsid w:val="3C492D16"/>
    <w:rsid w:val="3E385D5A"/>
    <w:rsid w:val="3E656BFA"/>
    <w:rsid w:val="3FE854A4"/>
    <w:rsid w:val="414122B0"/>
    <w:rsid w:val="46A65FC6"/>
    <w:rsid w:val="46D1677D"/>
    <w:rsid w:val="47F7164F"/>
    <w:rsid w:val="49C0419E"/>
    <w:rsid w:val="4A0A2840"/>
    <w:rsid w:val="4C1D1E6F"/>
    <w:rsid w:val="4D04002B"/>
    <w:rsid w:val="501F292F"/>
    <w:rsid w:val="50294856"/>
    <w:rsid w:val="505C057F"/>
    <w:rsid w:val="530718BD"/>
    <w:rsid w:val="56587CF2"/>
    <w:rsid w:val="5AD53CC5"/>
    <w:rsid w:val="608F1B93"/>
    <w:rsid w:val="629530EA"/>
    <w:rsid w:val="62CD426E"/>
    <w:rsid w:val="668B793A"/>
    <w:rsid w:val="680C2481"/>
    <w:rsid w:val="6A7E0C2B"/>
    <w:rsid w:val="6BAA5BAE"/>
    <w:rsid w:val="6C822873"/>
    <w:rsid w:val="6D2D75C2"/>
    <w:rsid w:val="6DBA6267"/>
    <w:rsid w:val="6E390D30"/>
    <w:rsid w:val="6EFB5934"/>
    <w:rsid w:val="6F187ECD"/>
    <w:rsid w:val="745C4668"/>
    <w:rsid w:val="75E1013D"/>
    <w:rsid w:val="7A433953"/>
    <w:rsid w:val="7ABA63A0"/>
    <w:rsid w:val="7E050C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nhideWhenUsed="0" w:uiPriority="0" w:semiHidden="0" w:name="heading 2" w:locked="1"/>
    <w:lsdException w:qFormat="1" w:unhideWhenUsed="0" w:uiPriority="0" w:semiHidden="0" w:name="heading 3" w:locked="1"/>
    <w:lsdException w:qFormat="1" w:unhideWhenUsed="0" w:uiPriority="0" w:semiHidden="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unhideWhenUsed="0" w:uiPriority="0" w:semiHidden="0" w:name="Body Text First Indent" w:locked="1"/>
    <w:lsdException w:qFormat="1"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qFormat="1" w:unhideWhenUsed="0" w:uiPriority="0" w:semiHidden="0" w:name="Hyperlink" w:locked="1"/>
    <w:lsdException w:qFormat="1"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qFormat="1"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qFormat="1" w:unhideWhenUsed="0" w:uiPriority="0" w:semiHidden="0" w:name="HTML Cite" w:locked="1"/>
    <w:lsdException w:qFormat="1" w:unhideWhenUsed="0" w:uiPriority="0" w:semiHidden="0" w:name="HTML Code" w:locked="1"/>
    <w:lsdException w:qFormat="1" w:unhideWhenUsed="0" w:uiPriority="0" w:semiHidden="0" w:name="HTML Definition" w:locked="1"/>
    <w:lsdException w:qFormat="1" w:unhideWhenUsed="0" w:uiPriority="0" w:semiHidden="0" w:name="HTML Keyboard" w:locked="1"/>
    <w:lsdException w:unhideWhenUsed="0" w:uiPriority="0" w:semiHidden="0" w:name="HTML Preformatted" w:locked="1"/>
    <w:lsdException w:qFormat="1" w:unhideWhenUsed="0" w:uiPriority="0" w:semiHidden="0" w:name="HTML Sample" w:locked="1"/>
    <w:lsdException w:unhideWhenUsed="0" w:uiPriority="0" w:semiHidden="0" w:name="HTML Typewriter" w:locked="1"/>
    <w:lsdException w:qFormat="1" w:unhideWhenUsed="0" w:uiPriority="0" w:semiHidden="0" w:name="HTML Variable" w:locked="1"/>
    <w:lsdException w:qFormat="1" w:uiPriority="99" w:name="Normal Table"/>
    <w:lsdException w:qFormat="1" w:unhideWhenUsed="0" w:uiPriority="0" w:name="annotation subject"/>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name="Balloon Text"/>
    <w:lsdException w:qFormat="1" w:unhideWhenUsed="0" w:uiPriority="0"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locked/>
    <w:uiPriority w:val="0"/>
    <w:pPr>
      <w:spacing w:before="100" w:beforeAutospacing="1" w:after="100" w:afterAutospacing="1"/>
      <w:jc w:val="left"/>
      <w:outlineLvl w:val="1"/>
    </w:pPr>
    <w:rPr>
      <w:rFonts w:hint="eastAsia" w:ascii="宋体" w:hAnsi="宋体"/>
      <w:b/>
      <w:kern w:val="0"/>
      <w:sz w:val="36"/>
      <w:szCs w:val="36"/>
    </w:rPr>
  </w:style>
  <w:style w:type="paragraph" w:styleId="4">
    <w:name w:val="heading 3"/>
    <w:basedOn w:val="1"/>
    <w:next w:val="1"/>
    <w:qFormat/>
    <w:locked/>
    <w:uiPriority w:val="0"/>
    <w:pPr>
      <w:keepNext/>
      <w:keepLines/>
      <w:widowControl w:val="0"/>
      <w:spacing w:before="260" w:after="260" w:line="413" w:lineRule="auto"/>
      <w:jc w:val="both"/>
      <w:outlineLvl w:val="2"/>
    </w:pPr>
    <w:rPr>
      <w:rFonts w:ascii="Times New Roman" w:hAnsi="Times New Roman" w:eastAsia="宋体" w:cs="Times New Roman"/>
      <w:b/>
      <w:bCs/>
      <w:kern w:val="2"/>
      <w:sz w:val="32"/>
      <w:szCs w:val="32"/>
      <w:lang w:val="en-US" w:eastAsia="zh-CN" w:bidi="ar-SA"/>
    </w:rPr>
  </w:style>
  <w:style w:type="paragraph" w:styleId="5">
    <w:name w:val="heading 4"/>
    <w:basedOn w:val="1"/>
    <w:next w:val="1"/>
    <w:qFormat/>
    <w:locked/>
    <w:uiPriority w:val="0"/>
    <w:pPr>
      <w:keepNext/>
      <w:keepLines/>
      <w:spacing w:before="280" w:after="290" w:line="376" w:lineRule="auto"/>
      <w:outlineLvl w:val="3"/>
    </w:pPr>
    <w:rPr>
      <w:rFonts w:ascii="Arial" w:hAnsi="Arial" w:eastAsia="黑体"/>
      <w:b/>
      <w:bCs/>
      <w:sz w:val="28"/>
      <w:szCs w:val="28"/>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6">
    <w:name w:val="Normal Indent"/>
    <w:qFormat/>
    <w:locked/>
    <w:uiPriority w:val="0"/>
    <w:pPr>
      <w:widowControl w:val="0"/>
      <w:ind w:firstLine="420"/>
      <w:jc w:val="both"/>
    </w:pPr>
    <w:rPr>
      <w:rFonts w:ascii="Calibri" w:hAnsi="Calibri" w:eastAsia="宋体" w:cs="Times New Roman"/>
      <w:kern w:val="2"/>
      <w:sz w:val="28"/>
      <w:szCs w:val="22"/>
      <w:lang w:val="en-US" w:eastAsia="zh-CN" w:bidi="ar-SA"/>
    </w:rPr>
  </w:style>
  <w:style w:type="paragraph" w:styleId="7">
    <w:name w:val="annotation text"/>
    <w:basedOn w:val="1"/>
    <w:link w:val="33"/>
    <w:semiHidden/>
    <w:qFormat/>
    <w:uiPriority w:val="0"/>
    <w:pPr>
      <w:jc w:val="left"/>
    </w:pPr>
    <w:rPr>
      <w:kern w:val="0"/>
      <w:sz w:val="24"/>
      <w:szCs w:val="20"/>
    </w:rPr>
  </w:style>
  <w:style w:type="paragraph" w:styleId="8">
    <w:name w:val="Body Text"/>
    <w:basedOn w:val="1"/>
    <w:link w:val="35"/>
    <w:qFormat/>
    <w:uiPriority w:val="0"/>
    <w:pPr>
      <w:widowControl/>
      <w:snapToGrid w:val="0"/>
      <w:spacing w:before="60" w:after="160" w:line="259" w:lineRule="auto"/>
      <w:ind w:right="113"/>
    </w:pPr>
    <w:rPr>
      <w:kern w:val="0"/>
      <w:sz w:val="18"/>
      <w:szCs w:val="20"/>
    </w:rPr>
  </w:style>
  <w:style w:type="paragraph" w:styleId="9">
    <w:name w:val="Body Text Indent"/>
    <w:basedOn w:val="1"/>
    <w:next w:val="5"/>
    <w:link w:val="34"/>
    <w:qFormat/>
    <w:uiPriority w:val="0"/>
    <w:pPr>
      <w:spacing w:after="120"/>
      <w:ind w:left="420" w:leftChars="200"/>
    </w:pPr>
    <w:rPr>
      <w:kern w:val="0"/>
      <w:sz w:val="24"/>
      <w:szCs w:val="20"/>
    </w:rPr>
  </w:style>
  <w:style w:type="paragraph" w:styleId="10">
    <w:name w:val="Plain Text"/>
    <w:basedOn w:val="1"/>
    <w:qFormat/>
    <w:locked/>
    <w:uiPriority w:val="0"/>
    <w:rPr>
      <w:rFonts w:ascii="宋体" w:hAnsi="Courier New"/>
    </w:rPr>
  </w:style>
  <w:style w:type="paragraph" w:styleId="11">
    <w:name w:val="Date"/>
    <w:basedOn w:val="1"/>
    <w:next w:val="1"/>
    <w:link w:val="36"/>
    <w:qFormat/>
    <w:uiPriority w:val="0"/>
    <w:pPr>
      <w:ind w:left="100" w:leftChars="2500"/>
    </w:pPr>
    <w:rPr>
      <w:kern w:val="0"/>
      <w:sz w:val="24"/>
      <w:szCs w:val="20"/>
    </w:rPr>
  </w:style>
  <w:style w:type="paragraph" w:styleId="12">
    <w:name w:val="Balloon Text"/>
    <w:basedOn w:val="1"/>
    <w:link w:val="37"/>
    <w:semiHidden/>
    <w:qFormat/>
    <w:uiPriority w:val="0"/>
    <w:rPr>
      <w:kern w:val="0"/>
      <w:sz w:val="18"/>
      <w:szCs w:val="20"/>
    </w:rPr>
  </w:style>
  <w:style w:type="paragraph" w:styleId="13">
    <w:name w:val="footer"/>
    <w:basedOn w:val="1"/>
    <w:link w:val="38"/>
    <w:qFormat/>
    <w:uiPriority w:val="99"/>
    <w:pPr>
      <w:tabs>
        <w:tab w:val="center" w:pos="4153"/>
        <w:tab w:val="right" w:pos="8306"/>
      </w:tabs>
      <w:snapToGrid w:val="0"/>
      <w:jc w:val="left"/>
    </w:pPr>
    <w:rPr>
      <w:kern w:val="0"/>
      <w:sz w:val="18"/>
      <w:szCs w:val="20"/>
    </w:rPr>
  </w:style>
  <w:style w:type="paragraph" w:styleId="14">
    <w:name w:val="header"/>
    <w:basedOn w:val="1"/>
    <w:next w:val="1"/>
    <w:link w:val="39"/>
    <w:qFormat/>
    <w:uiPriority w:val="0"/>
    <w:pPr>
      <w:pBdr>
        <w:bottom w:val="single" w:color="auto" w:sz="6" w:space="1"/>
      </w:pBdr>
      <w:tabs>
        <w:tab w:val="center" w:pos="4153"/>
        <w:tab w:val="right" w:pos="8306"/>
      </w:tabs>
      <w:snapToGrid w:val="0"/>
      <w:jc w:val="center"/>
    </w:pPr>
    <w:rPr>
      <w:kern w:val="0"/>
      <w:sz w:val="18"/>
      <w:szCs w:val="20"/>
    </w:rPr>
  </w:style>
  <w:style w:type="paragraph" w:styleId="15">
    <w:name w:val="Normal (Web)"/>
    <w:basedOn w:val="1"/>
    <w:link w:val="40"/>
    <w:qFormat/>
    <w:uiPriority w:val="0"/>
    <w:pPr>
      <w:widowControl/>
      <w:spacing w:before="100" w:beforeAutospacing="1" w:after="100" w:afterAutospacing="1"/>
      <w:jc w:val="left"/>
    </w:pPr>
    <w:rPr>
      <w:rFonts w:ascii="宋体" w:hAnsi="宋体"/>
      <w:kern w:val="0"/>
      <w:sz w:val="24"/>
      <w:szCs w:val="20"/>
    </w:rPr>
  </w:style>
  <w:style w:type="paragraph" w:styleId="16">
    <w:name w:val="annotation subject"/>
    <w:basedOn w:val="7"/>
    <w:next w:val="7"/>
    <w:link w:val="41"/>
    <w:semiHidden/>
    <w:qFormat/>
    <w:uiPriority w:val="0"/>
    <w:rPr>
      <w:b/>
    </w:rPr>
  </w:style>
  <w:style w:type="paragraph" w:styleId="17">
    <w:name w:val="Body Text First Indent 2"/>
    <w:basedOn w:val="9"/>
    <w:next w:val="1"/>
    <w:qFormat/>
    <w:locked/>
    <w:uiPriority w:val="0"/>
    <w:pPr>
      <w:ind w:firstLine="420" w:firstLineChars="200"/>
    </w:pPr>
  </w:style>
  <w:style w:type="table" w:styleId="19">
    <w:name w:val="Table Grid"/>
    <w:basedOn w:val="1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locked/>
    <w:uiPriority w:val="0"/>
    <w:rPr>
      <w:b/>
    </w:rPr>
  </w:style>
  <w:style w:type="character" w:styleId="22">
    <w:name w:val="page number"/>
    <w:basedOn w:val="20"/>
    <w:qFormat/>
    <w:locked/>
    <w:uiPriority w:val="0"/>
  </w:style>
  <w:style w:type="character" w:styleId="23">
    <w:name w:val="FollowedHyperlink"/>
    <w:basedOn w:val="20"/>
    <w:qFormat/>
    <w:locked/>
    <w:uiPriority w:val="0"/>
    <w:rPr>
      <w:color w:val="338DE6"/>
      <w:u w:val="none"/>
    </w:rPr>
  </w:style>
  <w:style w:type="character" w:styleId="24">
    <w:name w:val="Emphasis"/>
    <w:basedOn w:val="20"/>
    <w:qFormat/>
    <w:locked/>
    <w:uiPriority w:val="0"/>
  </w:style>
  <w:style w:type="character" w:styleId="25">
    <w:name w:val="HTML Definition"/>
    <w:basedOn w:val="20"/>
    <w:qFormat/>
    <w:locked/>
    <w:uiPriority w:val="0"/>
  </w:style>
  <w:style w:type="character" w:styleId="26">
    <w:name w:val="HTML Variable"/>
    <w:basedOn w:val="20"/>
    <w:qFormat/>
    <w:locked/>
    <w:uiPriority w:val="0"/>
  </w:style>
  <w:style w:type="character" w:styleId="27">
    <w:name w:val="Hyperlink"/>
    <w:basedOn w:val="20"/>
    <w:qFormat/>
    <w:locked/>
    <w:uiPriority w:val="0"/>
    <w:rPr>
      <w:color w:val="338DE6"/>
      <w:u w:val="none"/>
    </w:rPr>
  </w:style>
  <w:style w:type="character" w:styleId="28">
    <w:name w:val="HTML Code"/>
    <w:basedOn w:val="20"/>
    <w:qFormat/>
    <w:locked/>
    <w:uiPriority w:val="0"/>
    <w:rPr>
      <w:rFonts w:hint="default" w:ascii="serif" w:hAnsi="serif" w:eastAsia="serif" w:cs="serif"/>
      <w:sz w:val="21"/>
      <w:szCs w:val="21"/>
    </w:rPr>
  </w:style>
  <w:style w:type="character" w:styleId="29">
    <w:name w:val="annotation reference"/>
    <w:semiHidden/>
    <w:qFormat/>
    <w:uiPriority w:val="0"/>
    <w:rPr>
      <w:sz w:val="21"/>
    </w:rPr>
  </w:style>
  <w:style w:type="character" w:styleId="30">
    <w:name w:val="HTML Cite"/>
    <w:basedOn w:val="20"/>
    <w:qFormat/>
    <w:locked/>
    <w:uiPriority w:val="0"/>
  </w:style>
  <w:style w:type="character" w:styleId="31">
    <w:name w:val="HTML Keyboard"/>
    <w:basedOn w:val="20"/>
    <w:qFormat/>
    <w:locked/>
    <w:uiPriority w:val="0"/>
    <w:rPr>
      <w:rFonts w:hint="default" w:ascii="serif" w:hAnsi="serif" w:eastAsia="serif" w:cs="serif"/>
      <w:sz w:val="21"/>
      <w:szCs w:val="21"/>
    </w:rPr>
  </w:style>
  <w:style w:type="character" w:styleId="32">
    <w:name w:val="HTML Sample"/>
    <w:basedOn w:val="20"/>
    <w:qFormat/>
    <w:locked/>
    <w:uiPriority w:val="0"/>
    <w:rPr>
      <w:rFonts w:ascii="serif" w:hAnsi="serif" w:eastAsia="serif" w:cs="serif"/>
      <w:sz w:val="21"/>
      <w:szCs w:val="21"/>
    </w:rPr>
  </w:style>
  <w:style w:type="character" w:customStyle="1" w:styleId="33">
    <w:name w:val="批注文字 字符"/>
    <w:link w:val="7"/>
    <w:qFormat/>
    <w:locked/>
    <w:uiPriority w:val="0"/>
    <w:rPr>
      <w:rFonts w:ascii="Times New Roman" w:hAnsi="Times New Roman" w:eastAsia="宋体"/>
      <w:sz w:val="24"/>
    </w:rPr>
  </w:style>
  <w:style w:type="character" w:customStyle="1" w:styleId="34">
    <w:name w:val="正文文本缩进 字符"/>
    <w:link w:val="9"/>
    <w:semiHidden/>
    <w:qFormat/>
    <w:locked/>
    <w:uiPriority w:val="0"/>
    <w:rPr>
      <w:rFonts w:ascii="Times New Roman" w:hAnsi="Times New Roman" w:eastAsia="宋体"/>
      <w:sz w:val="24"/>
    </w:rPr>
  </w:style>
  <w:style w:type="character" w:customStyle="1" w:styleId="35">
    <w:name w:val="正文文本 字符"/>
    <w:link w:val="8"/>
    <w:qFormat/>
    <w:locked/>
    <w:uiPriority w:val="0"/>
    <w:rPr>
      <w:sz w:val="18"/>
    </w:rPr>
  </w:style>
  <w:style w:type="character" w:customStyle="1" w:styleId="36">
    <w:name w:val="日期 字符1"/>
    <w:link w:val="11"/>
    <w:qFormat/>
    <w:locked/>
    <w:uiPriority w:val="0"/>
    <w:rPr>
      <w:rFonts w:ascii="Times New Roman" w:hAnsi="Times New Roman" w:eastAsia="宋体"/>
      <w:sz w:val="24"/>
    </w:rPr>
  </w:style>
  <w:style w:type="character" w:customStyle="1" w:styleId="37">
    <w:name w:val="批注框文本 字符"/>
    <w:link w:val="12"/>
    <w:semiHidden/>
    <w:qFormat/>
    <w:locked/>
    <w:uiPriority w:val="0"/>
    <w:rPr>
      <w:rFonts w:ascii="Times New Roman" w:hAnsi="Times New Roman" w:eastAsia="宋体"/>
      <w:sz w:val="18"/>
    </w:rPr>
  </w:style>
  <w:style w:type="character" w:customStyle="1" w:styleId="38">
    <w:name w:val="页脚 字符1"/>
    <w:link w:val="13"/>
    <w:qFormat/>
    <w:locked/>
    <w:uiPriority w:val="99"/>
    <w:rPr>
      <w:sz w:val="18"/>
    </w:rPr>
  </w:style>
  <w:style w:type="character" w:customStyle="1" w:styleId="39">
    <w:name w:val="页眉 字符"/>
    <w:link w:val="14"/>
    <w:qFormat/>
    <w:locked/>
    <w:uiPriority w:val="0"/>
    <w:rPr>
      <w:sz w:val="18"/>
    </w:rPr>
  </w:style>
  <w:style w:type="character" w:customStyle="1" w:styleId="40">
    <w:name w:val="普通(网站) 字符"/>
    <w:link w:val="15"/>
    <w:qFormat/>
    <w:locked/>
    <w:uiPriority w:val="0"/>
    <w:rPr>
      <w:rFonts w:ascii="宋体" w:hAnsi="宋体" w:eastAsia="宋体"/>
      <w:sz w:val="24"/>
    </w:rPr>
  </w:style>
  <w:style w:type="character" w:customStyle="1" w:styleId="41">
    <w:name w:val="批注主题 字符"/>
    <w:link w:val="16"/>
    <w:semiHidden/>
    <w:qFormat/>
    <w:locked/>
    <w:uiPriority w:val="0"/>
    <w:rPr>
      <w:rFonts w:ascii="Times New Roman" w:hAnsi="Times New Roman" w:eastAsia="宋体"/>
      <w:b/>
      <w:kern w:val="2"/>
      <w:sz w:val="24"/>
    </w:rPr>
  </w:style>
  <w:style w:type="character" w:customStyle="1" w:styleId="42">
    <w:name w:val="正文文本 字符1"/>
    <w:semiHidden/>
    <w:qFormat/>
    <w:uiPriority w:val="0"/>
    <w:rPr>
      <w:rFonts w:ascii="Times New Roman" w:hAnsi="Times New Roman" w:eastAsia="宋体"/>
      <w:sz w:val="24"/>
    </w:rPr>
  </w:style>
  <w:style w:type="character" w:customStyle="1" w:styleId="43">
    <w:name w:val="批注文字 字符1"/>
    <w:semiHidden/>
    <w:qFormat/>
    <w:uiPriority w:val="0"/>
    <w:rPr>
      <w:rFonts w:ascii="Times New Roman" w:hAnsi="Times New Roman" w:eastAsia="宋体"/>
      <w:sz w:val="24"/>
    </w:rPr>
  </w:style>
  <w:style w:type="character" w:customStyle="1" w:styleId="44">
    <w:name w:val="fontborder"/>
    <w:basedOn w:val="20"/>
    <w:qFormat/>
    <w:uiPriority w:val="0"/>
    <w:rPr>
      <w:bdr w:val="single" w:color="000000" w:sz="6" w:space="0"/>
    </w:rPr>
  </w:style>
  <w:style w:type="character" w:customStyle="1" w:styleId="45">
    <w:name w:val="fontstrikethrough"/>
    <w:basedOn w:val="20"/>
    <w:qFormat/>
    <w:uiPriority w:val="0"/>
    <w:rPr>
      <w:strike/>
    </w:rPr>
  </w:style>
  <w:style w:type="character" w:customStyle="1" w:styleId="46">
    <w:name w:val="表格 Char"/>
    <w:link w:val="47"/>
    <w:qFormat/>
    <w:locked/>
    <w:uiPriority w:val="0"/>
    <w:rPr>
      <w:rFonts w:ascii="宋体"/>
      <w:sz w:val="21"/>
    </w:rPr>
  </w:style>
  <w:style w:type="paragraph" w:customStyle="1" w:styleId="47">
    <w:name w:val="表格"/>
    <w:basedOn w:val="1"/>
    <w:next w:val="1"/>
    <w:link w:val="46"/>
    <w:qFormat/>
    <w:uiPriority w:val="0"/>
    <w:pPr>
      <w:adjustRightInd w:val="0"/>
      <w:snapToGrid w:val="0"/>
      <w:spacing w:beforeLines="10" w:afterLines="10" w:line="259" w:lineRule="auto"/>
      <w:jc w:val="center"/>
    </w:pPr>
    <w:rPr>
      <w:rFonts w:ascii="宋体"/>
      <w:kern w:val="0"/>
      <w:szCs w:val="20"/>
    </w:rPr>
  </w:style>
  <w:style w:type="character" w:customStyle="1" w:styleId="48">
    <w:name w:val="font41"/>
    <w:qFormat/>
    <w:uiPriority w:val="0"/>
    <w:rPr>
      <w:rFonts w:hint="eastAsia" w:ascii="宋体" w:hAnsi="宋体" w:eastAsia="宋体" w:cs="宋体"/>
      <w:color w:val="000000"/>
      <w:sz w:val="21"/>
      <w:szCs w:val="21"/>
      <w:u w:val="none"/>
      <w:vertAlign w:val="superscript"/>
    </w:rPr>
  </w:style>
  <w:style w:type="character" w:customStyle="1" w:styleId="49">
    <w:name w:val="页脚 字符"/>
    <w:basedOn w:val="20"/>
    <w:qFormat/>
    <w:uiPriority w:val="99"/>
  </w:style>
  <w:style w:type="character" w:customStyle="1" w:styleId="50">
    <w:name w:val="日期 字符"/>
    <w:semiHidden/>
    <w:qFormat/>
    <w:uiPriority w:val="0"/>
    <w:rPr>
      <w:rFonts w:ascii="Times New Roman" w:hAnsi="Times New Roman" w:eastAsia="宋体"/>
      <w:sz w:val="24"/>
    </w:rPr>
  </w:style>
  <w:style w:type="paragraph" w:customStyle="1" w:styleId="51">
    <w:name w:val="表格内文字"/>
    <w:qFormat/>
    <w:uiPriority w:val="0"/>
    <w:pPr>
      <w:spacing w:line="320" w:lineRule="exact"/>
      <w:jc w:val="center"/>
    </w:pPr>
    <w:rPr>
      <w:rFonts w:ascii="Times New Roman" w:hAnsi="Times New Roman" w:eastAsia="宋体" w:cs="Times New Roman"/>
      <w:kern w:val="2"/>
      <w:sz w:val="21"/>
      <w:lang w:val="en-US" w:eastAsia="zh-CN" w:bidi="ar-SA"/>
    </w:rPr>
  </w:style>
  <w:style w:type="paragraph" w:customStyle="1" w:styleId="52">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3">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4">
    <w:name w:val="报告表格"/>
    <w:qFormat/>
    <w:uiPriority w:val="0"/>
    <w:pPr>
      <w:widowControl w:val="0"/>
      <w:autoSpaceDE w:val="0"/>
      <w:autoSpaceDN w:val="0"/>
      <w:adjustRightInd w:val="0"/>
      <w:spacing w:before="40" w:after="40"/>
      <w:jc w:val="center"/>
      <w:textAlignment w:val="baseline"/>
    </w:pPr>
    <w:rPr>
      <w:rFonts w:ascii="Times New Roman" w:hAnsi="Times New Roman" w:eastAsia="宋体" w:cs="Times New Roman"/>
      <w:sz w:val="28"/>
      <w:lang w:val="en-US" w:eastAsia="zh-CN" w:bidi="ar-SA"/>
    </w:rPr>
  </w:style>
  <w:style w:type="paragraph" w:customStyle="1" w:styleId="55">
    <w:name w:val="表头"/>
    <w:next w:val="1"/>
    <w:qFormat/>
    <w:uiPriority w:val="0"/>
    <w:pPr>
      <w:ind w:firstLine="460" w:firstLineChars="200"/>
      <w:jc w:val="both"/>
    </w:pPr>
    <w:rPr>
      <w:rFonts w:ascii="Times New Roman" w:hAnsi="Times New Roman" w:eastAsia="黑体" w:cs="Times New Roman"/>
      <w:sz w:val="24"/>
      <w:szCs w:val="24"/>
      <w:lang w:val="en-US" w:eastAsia="zh-CN" w:bidi="ar-SA"/>
    </w:rPr>
  </w:style>
  <w:style w:type="paragraph" w:customStyle="1" w:styleId="56">
    <w:name w:val="表格内容"/>
    <w:basedOn w:val="57"/>
    <w:next w:val="1"/>
    <w:qFormat/>
    <w:uiPriority w:val="0"/>
    <w:pPr>
      <w:spacing w:line="240" w:lineRule="auto"/>
      <w:ind w:firstLine="0" w:firstLineChars="0"/>
      <w:jc w:val="center"/>
    </w:pPr>
    <w:rPr>
      <w:sz w:val="21"/>
    </w:rPr>
  </w:style>
  <w:style w:type="paragraph" w:customStyle="1" w:styleId="57">
    <w:name w:val="Hqf报告表正文"/>
    <w:basedOn w:val="1"/>
    <w:qFormat/>
    <w:uiPriority w:val="0"/>
    <w:pPr>
      <w:spacing w:line="520" w:lineRule="exact"/>
      <w:ind w:firstLine="460" w:firstLineChars="200"/>
    </w:pPr>
    <w:rPr>
      <w:sz w:val="28"/>
    </w:rPr>
  </w:style>
  <w:style w:type="paragraph" w:customStyle="1" w:styleId="58">
    <w:name w:val="正文1"/>
    <w:qFormat/>
    <w:uiPriority w:val="0"/>
    <w:pPr>
      <w:adjustRightInd w:val="0"/>
      <w:snapToGrid w:val="0"/>
      <w:spacing w:line="500" w:lineRule="atLeast"/>
      <w:ind w:firstLine="567"/>
    </w:pPr>
    <w:rPr>
      <w:rFonts w:ascii="Times New Roman" w:hAnsi="Times New Roman" w:eastAsia="宋体" w:cs="Times New Roman"/>
      <w:sz w:val="28"/>
      <w:lang w:val="en-US" w:eastAsia="zh-CN" w:bidi="ar-SA"/>
    </w:rPr>
  </w:style>
  <w:style w:type="paragraph" w:customStyle="1" w:styleId="59">
    <w:name w:val="表格001"/>
    <w:qFormat/>
    <w:uiPriority w:val="0"/>
    <w:pPr>
      <w:widowControl w:val="0"/>
      <w:jc w:val="center"/>
    </w:pPr>
    <w:rPr>
      <w:rFonts w:ascii="Times New Roman" w:hAnsi="Times New Roman" w:eastAsia="宋体" w:cs="Times New Roman"/>
      <w:kern w:val="2"/>
      <w:sz w:val="28"/>
      <w:lang w:val="en-US" w:eastAsia="zh-CN" w:bidi="ar-SA"/>
    </w:rPr>
  </w:style>
  <w:style w:type="paragraph" w:customStyle="1" w:styleId="60">
    <w:name w:val="p0"/>
    <w:basedOn w:val="1"/>
    <w:qFormat/>
    <w:uiPriority w:val="0"/>
    <w:pPr>
      <w:widowControl/>
    </w:pPr>
    <w:rPr>
      <w:kern w:val="0"/>
      <w:szCs w:val="21"/>
    </w:rPr>
  </w:style>
  <w:style w:type="character" w:customStyle="1" w:styleId="61">
    <w:name w:val="noline"/>
    <w:basedOn w:val="20"/>
    <w:qFormat/>
    <w:uiPriority w:val="0"/>
  </w:style>
  <w:style w:type="character" w:customStyle="1" w:styleId="62">
    <w:name w:val="hover18"/>
    <w:basedOn w:val="20"/>
    <w:qFormat/>
    <w:uiPriority w:val="0"/>
    <w:rPr>
      <w:color w:val="025291"/>
    </w:rPr>
  </w:style>
  <w:style w:type="character" w:customStyle="1" w:styleId="63">
    <w:name w:val="font"/>
    <w:basedOn w:val="20"/>
    <w:qFormat/>
    <w:uiPriority w:val="0"/>
  </w:style>
  <w:style w:type="character" w:customStyle="1" w:styleId="64">
    <w:name w:val="font1"/>
    <w:basedOn w:val="20"/>
    <w:qFormat/>
    <w:uiPriority w:val="0"/>
  </w:style>
  <w:style w:type="character" w:customStyle="1" w:styleId="65">
    <w:name w:val="place"/>
    <w:basedOn w:val="20"/>
    <w:qFormat/>
    <w:uiPriority w:val="0"/>
    <w:rPr>
      <w:rFonts w:ascii="微软雅黑" w:hAnsi="微软雅黑" w:eastAsia="微软雅黑" w:cs="微软雅黑"/>
      <w:color w:val="888888"/>
      <w:sz w:val="25"/>
      <w:szCs w:val="25"/>
    </w:rPr>
  </w:style>
  <w:style w:type="character" w:customStyle="1" w:styleId="66">
    <w:name w:val="place1"/>
    <w:basedOn w:val="20"/>
    <w:qFormat/>
    <w:uiPriority w:val="0"/>
  </w:style>
  <w:style w:type="character" w:customStyle="1" w:styleId="67">
    <w:name w:val="place2"/>
    <w:basedOn w:val="20"/>
    <w:qFormat/>
    <w:uiPriority w:val="0"/>
  </w:style>
  <w:style w:type="character" w:customStyle="1" w:styleId="68">
    <w:name w:val="place3"/>
    <w:basedOn w:val="20"/>
    <w:qFormat/>
    <w:uiPriority w:val="0"/>
  </w:style>
  <w:style w:type="character" w:customStyle="1" w:styleId="69">
    <w:name w:val="gwds_nopic"/>
    <w:basedOn w:val="20"/>
    <w:qFormat/>
    <w:uiPriority w:val="0"/>
  </w:style>
  <w:style w:type="character" w:customStyle="1" w:styleId="70">
    <w:name w:val="gwds_nopic1"/>
    <w:basedOn w:val="20"/>
    <w:qFormat/>
    <w:uiPriority w:val="0"/>
    <w:rPr>
      <w:rFonts w:ascii="宋体 ! important" w:hAnsi="宋体 ! important" w:eastAsia="宋体 ! important" w:cs="宋体 ! important"/>
      <w:color w:val="454545"/>
      <w:sz w:val="21"/>
      <w:szCs w:val="21"/>
    </w:rPr>
  </w:style>
  <w:style w:type="character" w:customStyle="1" w:styleId="71">
    <w:name w:val="gwds_nopic2"/>
    <w:basedOn w:val="20"/>
    <w:qFormat/>
    <w:uiPriority w:val="0"/>
    <w:rPr>
      <w:rFonts w:hint="default" w:ascii="宋体 ! important" w:hAnsi="宋体 ! important" w:eastAsia="宋体 ! important" w:cs="宋体 ! important"/>
      <w:color w:val="454545"/>
      <w:sz w:val="18"/>
      <w:szCs w:val="18"/>
    </w:rPr>
  </w:style>
  <w:style w:type="paragraph" w:customStyle="1" w:styleId="72">
    <w:name w:val="表头、图号"/>
    <w:basedOn w:val="1"/>
    <w:unhideWhenUsed/>
    <w:qFormat/>
    <w:uiPriority w:val="0"/>
    <w:pPr>
      <w:widowControl/>
      <w:spacing w:line="240" w:lineRule="auto"/>
    </w:pPr>
    <w:rPr>
      <w:rFonts w:ascii="Times New Roman" w:hAnsi="Times New Roman" w:eastAsia="宋体"/>
      <w:kern w:val="0"/>
    </w:rPr>
  </w:style>
  <w:style w:type="paragraph" w:customStyle="1" w:styleId="73">
    <w:name w:val="报告正文"/>
    <w:basedOn w:val="1"/>
    <w:qFormat/>
    <w:uiPriority w:val="0"/>
    <w:pPr>
      <w:spacing w:line="360" w:lineRule="auto"/>
      <w:ind w:firstLine="480" w:firstLineChars="200"/>
      <w:jc w:val="left"/>
    </w:pPr>
    <w:rPr>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7.wmf"/><Relationship Id="rId17" Type="http://schemas.openxmlformats.org/officeDocument/2006/relationships/oleObject" Target="embeddings/oleObject3.bin"/><Relationship Id="rId16" Type="http://schemas.openxmlformats.org/officeDocument/2006/relationships/image" Target="media/image6.wmf"/><Relationship Id="rId15" Type="http://schemas.openxmlformats.org/officeDocument/2006/relationships/oleObject" Target="embeddings/oleObject2.bin"/><Relationship Id="rId14" Type="http://schemas.openxmlformats.org/officeDocument/2006/relationships/image" Target="media/image5.wmf"/><Relationship Id="rId13" Type="http://schemas.openxmlformats.org/officeDocument/2006/relationships/oleObject" Target="embeddings/oleObject1.bin"/><Relationship Id="rId12" Type="http://schemas.openxmlformats.org/officeDocument/2006/relationships/image" Target="media/image4.wmf"/><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7"/>
  </customShpExts>
  <extobjs>
    <extobj name="ECB019B1-382A-4266-B25C-5B523AA43C14-1">
      <extobjdata type="ECB019B1-382A-4266-B25C-5B523AA43C14" data="ewoJIkZpbGVJZCIgOiAiMTU2NDI5MTgzMzcwIiwKCSJHcm91cElkIiA6ICIyNzAxNTA1ODkiLAoJIkltYWdlIiA6ICJpVkJPUncwS0dnb0FBQUFOU1VoRVVnQUFBb1lBQUFEZUNBWUFBQUNneU1IS0FBQUFDWEJJV1hNQUFBc1RBQUFMRXdFQW1wd1lBQUFnQUVsRVFWUjRuTzNkZTN4TWQvN0g4ZmRNWEpLVXVOUFNOcWk2N21wTlhHcHBDWTEybHk2Tk5yVzA3c0ZQRjR1SGFyY3RkbGRkU3RBcXhTUDhhUDJpalV1cHFFVzFWRVBaalh0Y1NvdTZSQ1dTeUEwVE0rZjNSNXJUaklTU2pFd3VyK2RmbWUrY00rZVR5ZmRrUHVmei9YN1BT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"/>
    </extobj>
    <extobj name="ECB019B1-382A-4266-B25C-5B523AA43C14-2">
      <extobjdata type="ECB019B1-382A-4266-B25C-5B523AA43C14" data="ewoJIkZpbGVJZCIgOiAiMTU2MTQ3MTQwNDU2IiwKCSJHcm91cElkIiA6ICIyNzAxNTA1ODkiLAoJIkltYWdlIiA6ICJpVkJPUncwS0dnb0FBQUFOU1VoRVVnQUFBdWNBQUFJeENBWUFBQUR1WUJiNkFBQUFDWEJJV1hNQUFBc1RBQUFMRXdFQW1wd1lBQUFnQUVsRVFWUjRuT3pkZVZ4VTFmc0g4TThkWUVCQVpWTndSMXh6Uk9XaTVwSzU0dGRLODVjV2FwWm1MbW0yVzZtbG1acGFtV0w2MVV6TDNTeHozODA5RjlSaWNCZlhBQkVCVVhZWWhwazV2ejl3N2hjRVRYUmdnUG04WHk5ZmNzL2N1Zk5jdURQenpKbnpuQU1R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UkVSRVJFMU1qK0h6OVlhc3VEOVowQkFBQUFBRWxGVGtTdVFtQ0MiLAoJIlRoZW1lIiA6ICIiLAoJIlR5cGUiIDogImZsb3ciLAoJIlZlcnNpb24iIDogIiIKfQo="/>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45</Pages>
  <Words>19684</Words>
  <Characters>22355</Characters>
  <Lines>182</Lines>
  <Paragraphs>51</Paragraphs>
  <TotalTime>8</TotalTime>
  <ScaleCrop>false</ScaleCrop>
  <LinksUpToDate>false</LinksUpToDate>
  <CharactersWithSpaces>22785</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2020-12-24T09:29:00Z</dcterms:created>
  <dc:creator>lhj</dc:creator>
  <cp:lastModifiedBy>马旭</cp:lastModifiedBy>
  <cp:lastPrinted>2020-12-29T10:43:00Z</cp:lastPrinted>
  <dcterms:modified xsi:type="dcterms:W3CDTF">2022-05-17T11:56:23Z</dcterms:modified>
  <dc:title>附件2</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50512FEA792F4114B8738D23DE70D9D9</vt:lpwstr>
  </property>
</Properties>
</file>